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MS86 iDempiere boundary findings and operational journeys</w:t>
      </w:r>
    </w:p>
    <w:p>
      <w:pPr/>
      <w:r>
        <w:rPr>
          <w:b w:val="0"/>
          <w:i w:val="0"/>
        </w:rPr>
        <w:t xml:space="preserve">Evidence recorded 26 September 2026, following </w:t>
      </w:r>
      <w:hyperlink r:id="rId11">
        <w:r>
          <w:rPr>
            <w:color w:val="244D79"/>
          </w:rPr>
          <w:t xml:space="preserve">MS85</w:t>
        </w:r>
      </w:hyperlink>
      <w:r>
        <w:rPr>
          <w:b w:val="0"/>
          <w:i w:val="0"/>
        </w:rPr>
        <w:t>.</w:t>
      </w:r>
    </w:p>
    <w:p>
      <w:pPr/>
      <w:r>
        <w:rPr>
          <w:b w:val="0"/>
          <w:i w:val="0"/>
        </w:rPr>
      </w:r>
      <w:r>
        <w:rPr>
          <w:b/>
          <w:i w:val="0"/>
        </w:rPr>
        <w:t>Status: native boundary differences measured; bounded operational equivalence</w:t>
      </w:r>
      <w:r>
        <w:rPr>
          <w:b/>
          <w:i w:val="0"/>
        </w:rPr>
        <w:t xml:space="preserve"> </w:t>
      </w:r>
      <w:r>
        <w:rPr>
          <w:b/>
          <w:i w:val="0"/>
        </w:rPr>
        <w:t>passed under an explicit caller contract. Full application and platform qualification</w:t>
      </w:r>
      <w:r>
        <w:rPr>
          <w:b/>
          <w:i w:val="0"/>
        </w:rPr>
        <w:t xml:space="preserve"> </w:t>
      </w:r>
      <w:r>
        <w:rPr>
          <w:b/>
          <w:i w:val="0"/>
        </w:rPr>
        <w:t>remain unclaimed.</w:t>
      </w:r>
      <w:r>
        <w:rPr>
          <w:b w:val="0"/>
          <w:i w:val="0"/>
        </w:rPr>
      </w:r>
    </w:p>
    <w:p>
      <w:pPr>
        <w:pStyle w:val="Heading1"/>
      </w:pPr>
      <w:r>
        <w:rPr>
          <w:b w:val="0"/>
          <w:i w:val="0"/>
        </w:rPr>
        <w:t>Customer benefit</w:t>
      </w:r>
    </w:p>
    <w:p>
      <w:pPr/>
      <w:r>
        <w:rPr>
          <w:b w:val="0"/>
          <w:i w:val="0"/>
        </w:rPr>
        <w:t>MS85 established one simple customer-to-payment scenario. MS86 deliberately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tests values and workflows where a database change can alter business behavior.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It produces two concrete findings that the simple journey missed, alongside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native evidence for the business cases that do work.</w:t>
      </w:r>
    </w:p>
    <w:p>
      <w:pPr/>
      <w:r>
        <w:rPr>
          <w:b w:val="0"/>
          <w:i w:val="0"/>
        </w:rPr>
        <w:t>The customer claim is therefore specific: fractional pricing, fixture tax,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discount, Unicode and empty optional text have measured application outcomes;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fractional shipment time exposes a real Oracle precision loss. A native locking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API combination also fails on Oracle. Neither finding is hidden by a passing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test-process exit or an alternative caller pattern.</w:t>
      </w:r>
    </w:p>
    <w:p>
      <w:pPr>
        <w:pStyle w:val="Heading1"/>
      </w:pPr>
      <w:r>
        <w:rPr>
          <w:b w:val="0"/>
          <w:i w:val="0"/>
        </w:rPr>
        <w:t>Boundary journey</w:t>
      </w:r>
    </w:p>
    <w:p>
      <w:pPr/>
      <w:r>
        <w:rPr>
          <w:b w:val="0"/>
          <w:i w:val="0"/>
        </w:rPr>
        <w:t>The same pinned iDempiere Java application runs on Oracle 26ai Free 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PostgreSQL 15.19 using local Docker. A new customer named </w:t>
      </w:r>
      <w:r>
        <w:rPr>
          <w:rFonts w:ascii="Arial Unicode MS" w:hAnsi="Arial Unicode MS" w:eastAsia="Arial Unicode MS" w:hint="eastAsia"/>
          <w:b w:val="0"/>
          <w:i w:val="0"/>
          <w:sz w:val="18"/>
        </w:rPr>
        <w:t>Café 東京 Łódź</w:t>
      </w:r>
      <w:r>
        <w:rPr>
          <w:b w:val="0"/>
          <w:i w:val="0"/>
        </w:rPr>
        <w:t xml:space="preserve"> orders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three units priced at 19.995 before a 10% discount. Actual price 17.9955 produces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net 53.99, fixture tax 4.05 at 7.5%, and an invoice/payment of 58.04 after explicit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decimal rounding. Stock falls from ten to seven.</w:t>
      </w:r>
    </w:p>
    <w:p>
      <w:pPr/>
      <w:r>
        <w:rPr>
          <w:b w:val="0"/>
          <w:i w:val="0"/>
        </w:rPr>
        <w:t>Both engines preserve the customer name and turn the empty description into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SQL null through the application save path. Independent database readback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verifies the amounts, allocation, stock and accounting.</w:t>
      </w:r>
    </w:p>
    <w:p>
      <w:pPr/>
      <w:r>
        <w:rPr>
          <w:b w:val="0"/>
          <w:i w:val="0"/>
        </w:rPr>
        <w:t xml:space="preserve">The input shipment timestamp is </w:t>
      </w:r>
      <w:r>
        <w:rPr>
          <w:rFonts w:ascii="Courier New" w:hAnsi="Courier New"/>
          <w:b w:val="0"/>
          <w:i w:val="0"/>
          <w:sz w:val="18"/>
        </w:rPr>
        <w:t>2026-09-26T12:34:56.123456</w:t>
      </w:r>
      <w:r>
        <w:rPr>
          <w:b w:val="0"/>
          <w:i w:val="0"/>
        </w:rPr>
        <w:t>. PostgreSQL preserves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it; Oracle's </w:t>
      </w:r>
      <w:r>
        <w:rPr>
          <w:rFonts w:ascii="Courier New" w:hAnsi="Courier New"/>
          <w:b w:val="0"/>
          <w:i w:val="0"/>
          <w:sz w:val="18"/>
        </w:rPr>
        <w:t>M_InOut.ShipDate</w:t>
      </w:r>
      <w:r>
        <w:rPr>
          <w:b w:val="0"/>
          <w:i w:val="0"/>
        </w:rPr>
        <w:t xml:space="preserve"> DATE column stores </w:t>
      </w:r>
      <w:r>
        <w:rPr>
          <w:rFonts w:ascii="Courier New" w:hAnsi="Courier New"/>
          <w:b w:val="0"/>
          <w:i w:val="0"/>
          <w:sz w:val="18"/>
        </w:rPr>
        <w:t>2026-09-26T12:34:56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Oracle passes 14 of 15 explicit checks; PostgreSQL passes all 15. The 913-table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comparison retains this field as unresolved. Consequently,</w:t>
      </w:r>
      <w:r>
        <w:rPr>
          <w:b w:val="0"/>
          <w:i w:val="0"/>
        </w:rPr>
        <w:t xml:space="preserve"> </w:t>
      </w:r>
      <w:r>
        <w:rPr>
          <w:rFonts w:ascii="Courier New" w:hAnsi="Courier New"/>
          <w:b w:val="0"/>
          <w:i w:val="0"/>
          <w:sz w:val="18"/>
        </w:rPr>
        <w:t>bounded_boundary_equivalence</w:t>
      </w:r>
      <w:r>
        <w:rPr>
          <w:b w:val="0"/>
          <w:i w:val="0"/>
        </w:rPr>
        <w:t xml:space="preserve"> remains </w:t>
      </w:r>
      <w:r>
        <w:rPr>
          <w:b/>
          <w:i w:val="0"/>
        </w:rPr>
        <w:t>false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>This is an application observation, not merely a standalone SQL expression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probe. A reviewed timestamp storage/input contract and another native run 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needed to close it. Dropping precision from the comparison would not close it.</w:t>
      </w:r>
    </w:p>
    <w:p>
      <w:pPr>
        <w:pStyle w:val="Heading1"/>
      </w:pPr>
      <w:r>
        <w:rPr>
          <w:b w:val="0"/>
          <w:i w:val="0"/>
        </w:rPr>
        <w:t>Operational journeys</w:t>
      </w:r>
    </w:p>
    <w:p>
      <w:pPr/>
      <w:r>
        <w:rPr>
          <w:b w:val="0"/>
          <w:i w:val="0"/>
        </w:rPr>
        <w:t>A separate fresh database pair prevents the known timestamp difference from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entering these starting states. The harness exercises:</w:t>
      </w:r>
    </w:p>
    <w:p>
      <w:pPr>
        <w:pStyle w:val="ListBullet"/>
      </w:pPr>
      <w:r>
        <w:rPr>
          <w:b w:val="0"/>
          <w:i w:val="0"/>
        </w:rPr>
        <w:t>Two partial shipments: one unit, then the remaining two, followed by 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aggregate invoice and payment.</w:t>
      </w:r>
    </w:p>
    <w:p>
      <w:pPr>
        <w:pStyle w:val="ListBullet"/>
      </w:pPr>
      <w:r>
        <w:rPr>
          <w:b w:val="0"/>
          <w:i w:val="0"/>
        </w:rPr>
        <w:t>A one-unit credit memo of 19.35 and a workflow reversal of -19.35, 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reciprocal document links and accounting cancellation by account.</w:t>
      </w:r>
    </w:p>
    <w:p>
      <w:pPr>
        <w:pStyle w:val="ListBullet"/>
      </w:pPr>
      <w:r>
        <w:rPr>
          <w:b w:val="0"/>
          <w:i w:val="0"/>
        </w:rPr>
        <w:t>An injected exception before commit, confirmed rollback, a successful retry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 an explicit logical-key lookup that prevents duplicate creation.</w:t>
      </w:r>
    </w:p>
    <w:p>
      <w:pPr>
        <w:pStyle w:val="ListBullet"/>
      </w:pPr>
      <w:r>
        <w:rPr>
          <w:b w:val="0"/>
          <w:i w:val="0"/>
        </w:rPr>
        <w:t>Two overlapping, explicitly locked application updates: 100.00 to 100.01 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100.02, with the second transaction waiting for the first lock.</w:t>
      </w:r>
    </w:p>
    <w:p>
      <w:pPr/>
      <w:r>
        <w:rPr>
          <w:b w:val="0"/>
          <w:i w:val="0"/>
        </w:rPr>
        <w:t xml:space="preserve">The first trial used </w:t>
      </w:r>
      <w:r>
        <w:rPr>
          <w:rFonts w:ascii="Courier New" w:hAnsi="Courier New"/>
          <w:b w:val="0"/>
          <w:i w:val="0"/>
          <w:sz w:val="18"/>
        </w:rPr>
        <w:t>Query.setForUpdate(true).firstOnly()</w:t>
      </w:r>
      <w:r>
        <w:rPr>
          <w:b w:val="0"/>
          <w:i w:val="0"/>
        </w:rPr>
        <w:t>. PostgreSQL completed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it, but Oracle rejected the generated </w:t>
      </w:r>
      <w:r>
        <w:rPr>
          <w:rFonts w:ascii="Courier New" w:hAnsi="Courier New"/>
          <w:b w:val="0"/>
          <w:i w:val="0"/>
          <w:sz w:val="18"/>
        </w:rPr>
        <w:t>FOR UPDATE FETCH FIRST 2 ROWS ONLY</w:t>
      </w:r>
      <w:r>
        <w:rPr>
          <w:b w:val="0"/>
          <w:i w:val="0"/>
        </w:rPr>
        <w:t xml:space="preserve"> with</w:t>
      </w:r>
      <w:r>
        <w:rPr>
          <w:b w:val="0"/>
          <w:i w:val="0"/>
        </w:rPr>
        <w:t xml:space="preserve"> </w:t>
      </w:r>
      <w:r>
        <w:rPr>
          <w:rFonts w:ascii="Courier New" w:hAnsi="Courier New"/>
          <w:b w:val="0"/>
          <w:i w:val="0"/>
          <w:sz w:val="18"/>
        </w:rPr>
        <w:t>ORA-03049</w:t>
      </w:r>
      <w:r>
        <w:rPr>
          <w:b w:val="0"/>
          <w:i w:val="0"/>
        </w:rPr>
        <w:t>. The failed run, issue rows, native states, harness and error excerpt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remain in the evidence archive.</w:t>
      </w:r>
    </w:p>
    <w:p>
      <w:pPr/>
      <w:r>
        <w:rPr>
          <w:b w:val="0"/>
          <w:i w:val="0"/>
        </w:rPr>
        <w:t xml:space="preserve">The later harness uses </w:t>
      </w:r>
      <w:r>
        <w:rPr>
          <w:rFonts w:ascii="Courier New" w:hAnsi="Courier New"/>
          <w:b w:val="0"/>
          <w:i w:val="0"/>
          <w:sz w:val="18"/>
        </w:rPr>
        <w:t>Query.setForUpdate(true).list()</w:t>
      </w:r>
      <w:r>
        <w:rPr>
          <w:b w:val="0"/>
          <w:i w:val="0"/>
        </w:rPr>
        <w:t xml:space="preserve"> against a unique primary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key and asserts exactly one returned row. Its result applies only to that caller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contract. It neither fixes nor qualifies the failed </w:t>
      </w:r>
      <w:r>
        <w:rPr>
          <w:rFonts w:ascii="Courier New" w:hAnsi="Courier New"/>
          <w:b w:val="0"/>
          <w:i w:val="0"/>
          <w:sz w:val="18"/>
        </w:rPr>
        <w:t>firstOnly()</w:t>
      </w:r>
      <w:r>
        <w:rPr>
          <w:b w:val="0"/>
          <w:i w:val="0"/>
        </w:rPr>
        <w:t xml:space="preserve"> combination.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The </w:t>
      </w:r>
      <w:hyperlink r:id="rId12">
        <w:r>
          <w:rPr>
            <w:color w:val="244D79"/>
          </w:rPr>
          <w:t xml:space="preserve">operations comparison</w:t>
        </w:r>
      </w:hyperlink>
      <w:r>
        <w:rPr>
          <w:b w:val="0"/>
          <w:i w:val="0"/>
        </w:rPr>
        <w:t xml:space="preserve"> </w:t>
      </w:r>
      <w:r>
        <w:rPr>
          <w:b w:val="0"/>
          <w:i w:val="0"/>
        </w:rPr>
        <w:t>records the final verdict separately from the boundary failure.</w:t>
      </w:r>
    </w:p>
    <w:p>
      <w:pPr/>
      <w:r>
        <w:rPr>
          <w:b w:val="0"/>
          <w:i w:val="0"/>
        </w:rPr>
        <w:t>The final operations run has zero new application issues and zero unresolved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differences across 913 common tables. It retains 509 new validated raw field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differences. The fractional run retains 311 validated new differences and its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one unresolved timestamp difference. Each carries the 5,540 unchanged MS84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differences separately; those are not counted as new coverage.</w:t>
      </w:r>
    </w:p>
    <w:p>
      <w:pPr>
        <w:pStyle w:val="Heading1"/>
      </w:pPr>
      <w:r>
        <w:rPr>
          <w:b w:val="0"/>
          <w:i w:val="0"/>
        </w:rPr>
        <w:t>Datatype mappings</w:t>
      </w:r>
    </w:p>
    <w:p>
      <w:pPr/>
      <w:r>
        <w:rPr>
          <w:b w:val="0"/>
          <w:i w:val="0"/>
        </w:rPr>
        <w:t>The new catalog-based inventory covers all 18,852 common base-table columns: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5472"/>
      </w:tblGrid>
      <w:tr>
        <w:trPr>
          <w:cantSplit/>
          <w:tblHeader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b/>
                <w:i w:val="0"/>
                <w:sz w:val="20"/>
              </w:rPr>
              <w:t>Mapping or declaration class</w:t>
            </w:r>
          </w:p>
        </w:tc>
        <w:tc>
          <w:tcPr>
            <w:tcW w:type="dxa" w:w="5472"/>
          </w:tcPr>
          <w:p>
            <w:pPr>
              <w:spacing w:after="80" w:before="80"/>
            </w:pPr>
            <w:r>
              <w:rPr>
                <w:b/>
                <w:i w:val="0"/>
                <w:sz w:val="20"/>
              </w:rPr>
              <w:t>Columns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NUMBER / numeric</w:t>
            </w:r>
          </w:p>
        </w:tc>
        <w:tc>
          <w:tcPr>
            <w:tcW w:type="dxa" w:w="5472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9,393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Matching declared numeric precision and scale</w:t>
            </w:r>
          </w:p>
        </w:tc>
        <w:tc>
          <w:tcPr>
            <w:tcW w:type="dxa" w:w="5472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8,370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Unbounded or partially declared numeric</w:t>
            </w:r>
          </w:p>
        </w:tc>
        <w:tc>
          <w:tcPr>
            <w:tcW w:type="dxa" w:w="5472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1,023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DATE / timestamp without time zone</w:t>
            </w:r>
          </w:p>
        </w:tc>
        <w:tc>
          <w:tcPr>
            <w:tcW w:type="dxa" w:w="5472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2,259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Text / UUID</w:t>
            </w:r>
          </w:p>
        </w:tc>
        <w:tc>
          <w:tcPr>
            <w:tcW w:type="dxa" w:w="5472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914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CLOB / JSON or JSONB</w:t>
            </w:r>
          </w:p>
        </w:tc>
        <w:tc>
          <w:tcPr>
            <w:tcW w:type="dxa" w:w="5472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BLOB / large-object reference</w:t>
            </w:r>
          </w:p>
        </w:tc>
        <w:tc>
          <w:tcPr>
            <w:tcW w:type="dxa" w:w="5472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3</w:t>
            </w:r>
          </w:p>
        </w:tc>
      </w:tr>
    </w:tbl>
    <w:p>
      <w:pPr>
        <w:spacing w:after="0"/>
      </w:pPr>
    </w:p>
    <w:p>
      <w:pPr/>
      <w:r>
        <w:rPr>
          <w:b w:val="0"/>
          <w:i w:val="0"/>
        </w:rPr>
        <w:t>The full inventory also includes character, text, binary and timezone-aware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timestamp mappings. Counts above overlap by design. Native declarations 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one-sided columns remain available. Matching declarations are not behavioral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proof: rounding, numeric range, invalid input, multibyte capacity, collation,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JSON semantics and large-object ownership remain explicit review obligations.</w:t>
      </w:r>
    </w:p>
    <w:p>
      <w:pPr>
        <w:pStyle w:val="Heading1"/>
      </w:pPr>
      <w:r>
        <w:rPr>
          <w:b w:val="0"/>
          <w:i w:val="0"/>
        </w:rPr>
        <w:t>Evidence, validation and limits</w:t>
      </w:r>
    </w:p>
    <w:p>
      <w:pPr/>
      <w:r>
        <w:rPr>
          <w:b w:val="0"/>
          <w:i w:val="0"/>
        </w:rPr>
        <w:t xml:space="preserve">The </w:t>
      </w:r>
      <w:hyperlink r:id="rId13">
        <w:r>
          <w:rPr>
            <w:color w:val="244D79"/>
          </w:rPr>
          <w:t xml:space="preserve">complete report</w:t>
        </w:r>
      </w:hyperlink>
      <w:r>
        <w:rPr>
          <w:b w:val="0"/>
          <w:i w:val="0"/>
        </w:rPr>
        <w:t xml:space="preserve"> links the</w:t>
      </w:r>
      <w:r>
        <w:rPr>
          <w:b w:val="0"/>
          <w:i w:val="0"/>
        </w:rPr>
        <w:t xml:space="preserve"> </w:t>
      </w:r>
      <w:hyperlink r:id="rId14">
        <w:r>
          <w:rPr>
            <w:color w:val="244D79"/>
          </w:rPr>
          <w:t xml:space="preserve">receipt</w:t>
        </w:r>
      </w:hyperlink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hyperlink r:id="rId15">
        <w:r>
          <w:rPr>
            <w:color w:val="244D79"/>
          </w:rPr>
          <w:t xml:space="preserve">datatype review</w:t>
        </w:r>
      </w:hyperlink>
      <w:r>
        <w:rPr>
          <w:b w:val="0"/>
          <w:i w:val="0"/>
        </w:rPr>
        <w:t>, both Java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harnesses and the </w:t>
      </w:r>
      <w:hyperlink r:id="rId16">
        <w:r>
          <w:rPr>
            <w:color w:val="244D79"/>
          </w:rPr>
          <w:t xml:space="preserve">native evidence archive</w:t>
        </w:r>
      </w:hyperlink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Offline tests reconstruct sealed states, validate raw rows and hashes, recompute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 outcomes, and retain both failures. CI includes these checks on Windows 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Linux without live database credentials.</w:t>
      </w:r>
    </w:p>
    <w:p>
      <w:pPr/>
      <w:r>
        <w:rPr>
          <w:b w:val="0"/>
          <w:i w:val="0"/>
        </w:rPr>
        <w:t>Local validation ran 212 affected calibration, evidence and documentation tests: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210 passed and two skipped. Milestone manifest verification and whitespace checks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passed. All six experiment containers were stopped with data retained.</w:t>
      </w:r>
    </w:p>
    <w:p>
      <w:pPr/>
      <w:r>
        <w:rPr>
          <w:b w:val="0"/>
          <w:i w:val="0"/>
        </w:rPr>
        <w:t>Six native application executions are retained: two fractional-boundary runs,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two runs of the initial operational trial, and two runs of the collection-query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alternative. All experiments use the recorded application source commit</w:t>
      </w:r>
      <w:r>
        <w:rPr>
          <w:b w:val="0"/>
          <w:i w:val="0"/>
        </w:rPr>
        <w:t xml:space="preserve"> </w:t>
      </w:r>
      <w:r>
        <w:rPr>
          <w:rFonts w:ascii="Courier New" w:hAnsi="Courier New"/>
          <w:b w:val="0"/>
          <w:i w:val="0"/>
          <w:sz w:val="18"/>
        </w:rPr>
        <w:t>731515dcdd5278b843db33b9​d3109d155b881951</w:t>
      </w:r>
      <w:r>
        <w:rPr>
          <w:b w:val="0"/>
          <w:i w:val="0"/>
        </w:rPr>
        <w:t>. Schema repairs preserve the MS84 row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multisets before each new experiment.</w:t>
      </w:r>
    </w:p>
    <w:p>
      <w:pPr/>
      <w:r>
        <w:rPr>
          <w:b w:val="0"/>
          <w:i w:val="0"/>
        </w:rPr>
        <w:t>Controlled two-transaction locking is not load or broad isolation qualification.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Pre-commit exception recovery is not crash, ambiguous-commit or failover recovery.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Caller-keyed retry is not proof of global application idempotency. One 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reversal is not every reversal type. UUID/JSON boundary journeys, maximum numeric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precision, Unicode length/collation and broader datatype enforcement remain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future work. No GCP resources were started; cleanup retains the local data.</w:t>
      </w:r>
    </w:p>
    <w:p>
      <w:pPr>
        <w:pStyle w:val="Heading1"/>
      </w:pPr>
      <w:r>
        <w:rPr>
          <w:b w:val="0"/>
          <w:i w:val="0"/>
        </w:rPr>
        <w:t>Next work</w:t>
      </w:r>
    </w:p>
    <w:p>
      <w:pPr/>
      <w:r>
        <w:rPr>
          <w:b w:val="0"/>
          <w:i w:val="0"/>
        </w:rPr>
        <w:t>Resolve the shipment timestamp contract and the Oracle locking-query defect,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then rerun their exact failing cases. Extend the established harness to partial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invoicing, further reversal types, concurrent business-document processing,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deadlocks and failures around commit. Each new claim requires its own declared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inputs, independent expected outcomes and retained native observations.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MS-86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97280" cy="2836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ightyear-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2836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5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howardweale/lightyear-carddemo-modernization/blob/main/docs/milestones/MS-85/MS-85.md" TargetMode="External"/><Relationship Id="rId12" Type="http://schemas.openxmlformats.org/officeDocument/2006/relationships/hyperlink" Target="https://github.com/howardweale/lightyear-carddemo-modernization/blob/main/docs/calibration/idempiere-boundaries/operations-comparison.json" TargetMode="External"/><Relationship Id="rId13" Type="http://schemas.openxmlformats.org/officeDocument/2006/relationships/hyperlink" Target="https://github.com/howardweale/lightyear-carddemo-modernization/blob/main/docs/calibration/idempiere-boundaries/README.md" TargetMode="External"/><Relationship Id="rId14" Type="http://schemas.openxmlformats.org/officeDocument/2006/relationships/hyperlink" Target="https://github.com/howardweale/lightyear-carddemo-modernization/blob/main/docs/calibration/idempiere-boundaries/receipt.json" TargetMode="External"/><Relationship Id="rId15" Type="http://schemas.openxmlformats.org/officeDocument/2006/relationships/hyperlink" Target="https://github.com/howardweale/lightyear-carddemo-modernization/blob/main/docs/calibration/idempiere-boundaries/mappings.md" TargetMode="External"/><Relationship Id="rId16" Type="http://schemas.openxmlformats.org/officeDocument/2006/relationships/hyperlink" Target="https://github.com/howardweale/lightyear-carddemo-modernization/blob/main/docs/calibration/idempiere-boundaries/evidence.zip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MS86 iDempiere boundary findings and operational journeys</dc:title>
  <dc:subject>Canonical milestone record and bounded evidence</dc:subject>
  <dc:creator>LIGHTYEAR</dc:creator>
  <cp:keywords/>
  <dc:description>Source SHA256: c78b6df58151c915f869623c3c41f6ecac447598156275effa09edf7d71ecaa1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