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MS90 Versioned judgement without rewriting history</w:t>
      </w:r>
    </w:p>
    <w:p>
      <w:pPr/>
      <w:r>
        <w:rPr>
          <w:b w:val="0"/>
          <w:i w:val="0"/>
        </w:rPr>
      </w:r>
      <w:r>
        <w:rPr>
          <w:b/>
          <w:i w:val="0"/>
        </w:rPr>
        <w:t>Lightyear | Milestone report | 27 September 2026</w:t>
      </w:r>
      <w:r>
        <w:rPr>
          <w:b w:val="0"/>
          <w:i w:val="0"/>
        </w:rPr>
      </w:r>
    </w:p>
    <w:p>
      <w:pPr/>
      <w:hyperlink r:id="rId11">
        <w:r>
          <w:rPr>
            <w:color w:val="244D79"/>
          </w:rPr>
          <w:t xml:space="preserve">Word edition</w:t>
        </w:r>
      </w:hyperlink>
    </w:p>
    <w:p>
      <w:pPr>
        <w:pStyle w:val="Heading1"/>
      </w:pPr>
      <w:r>
        <w:rPr>
          <w:b w:val="0"/>
          <w:i w:val="0"/>
        </w:rPr>
        <w:t>Outcome</w:t>
      </w:r>
    </w:p>
    <w:p>
      <w:pPr/>
      <w:r>
        <w:rPr>
          <w:b w:val="0"/>
          <w:i w:val="0"/>
        </w:rPr>
        <w:t>The retained MS89 partial-invoicing observations pass the explicitly scoped version-2 comparison. The original MS89 run remains failed under its original judge. Both results are retained, linked by hashes, and answerable to a named rule set.</w:t>
      </w:r>
    </w:p>
    <w:p>
      <w:pPr/>
      <w:r>
        <w:rPr>
          <w:b w:val="0"/>
          <w:i w:val="0"/>
        </w:rPr>
      </w:r>
      <w:r>
        <w:rPr>
          <w:b/>
          <w:i w:val="0"/>
        </w:rPr>
        <w:t>Customer claim:</w:t>
      </w:r>
      <w:r>
        <w:rPr>
          <w:b w:val="0"/>
          <w:i w:val="0"/>
        </w:rPr>
        <w:t xml:space="preserve"> One agent-generated partial-invoicing journey has native Oracle/PostgreSQL evidence that satisfies the version-2 contract: exact numeric values for three named fields and accepted second-level shipment dates. This is a reassessment of existing evidence, not a new native run or full application qualification.</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Evidence</w:t>
            </w:r>
          </w:p>
        </w:tc>
        <w:tc>
          <w:tcPr>
            <w:tcW w:type="dxa" w:w="5472"/>
          </w:tcPr>
          <w:p>
            <w:pPr>
              <w:spacing w:after="80" w:before="80"/>
            </w:pPr>
            <w:r>
              <w:rPr>
                <w:b/>
                <w:i w:val="0"/>
                <w:sz w:val="20"/>
              </w:rPr>
              <w:t>Preserved or new result</w:t>
            </w:r>
          </w:p>
        </w:tc>
      </w:tr>
      <w:tr>
        <w:trPr>
          <w:cantSplit/>
        </w:trPr>
        <w:tc>
          <w:tcPr>
            <w:tcW w:type="dxa" w:w="4608"/>
          </w:tcPr>
          <w:p>
            <w:pPr>
              <w:spacing w:after="80" w:before="80"/>
            </w:pPr>
            <w:r>
              <w:rPr>
                <w:b w:val="0"/>
                <w:i w:val="0"/>
                <w:sz w:val="20"/>
              </w:rPr>
              <w:t>Original MS89 campaign</w:t>
            </w:r>
          </w:p>
        </w:tc>
        <w:tc>
          <w:tcPr>
            <w:tcW w:type="dxa" w:w="5472"/>
          </w:tcPr>
          <w:p>
            <w:pPr>
              <w:spacing w:after="80" w:before="80"/>
            </w:pPr>
            <w:r>
              <w:rPr>
                <w:rFonts w:ascii="Courier New" w:hAnsi="Courier New"/>
                <w:b w:val="0"/>
                <w:i w:val="0"/>
                <w:sz w:val="20"/>
              </w:rPr>
              <w:t>halted-nonrepairable</w:t>
            </w:r>
            <w:r>
              <w:rPr>
                <w:b w:val="0"/>
                <w:i w:val="0"/>
                <w:sz w:val="20"/>
              </w:rPr>
              <w:t>; 12 client calls and five native attempts retained</w:t>
            </w:r>
          </w:p>
        </w:tc>
      </w:tr>
      <w:tr>
        <w:trPr>
          <w:cantSplit/>
        </w:trPr>
        <w:tc>
          <w:tcPr>
            <w:tcW w:type="dxa" w:w="4608"/>
          </w:tcPr>
          <w:p>
            <w:pPr>
              <w:spacing w:after="80" w:before="80"/>
            </w:pPr>
            <w:r>
              <w:rPr>
                <w:b w:val="0"/>
                <w:i w:val="0"/>
                <w:sz w:val="20"/>
              </w:rPr>
              <w:t>Original final native receipt</w:t>
            </w:r>
          </w:p>
        </w:tc>
        <w:tc>
          <w:tcPr>
            <w:tcW w:type="dxa" w:w="5472"/>
          </w:tcPr>
          <w:p>
            <w:pPr>
              <w:spacing w:after="80" w:before="80"/>
            </w:pPr>
            <w:r>
              <w:rPr>
                <w:rFonts w:ascii="Courier New" w:hAnsi="Courier New"/>
                <w:b w:val="0"/>
                <w:i w:val="0"/>
                <w:sz w:val="20"/>
              </w:rPr>
              <w:t>failed</w:t>
            </w:r>
            <w:r>
              <w:rPr>
                <w:b w:val="0"/>
                <w:i w:val="0"/>
                <w:sz w:val="20"/>
              </w:rPr>
              <w:t xml:space="preserve">; original gate remains </w:t>
            </w:r>
            <w:r>
              <w:rPr>
                <w:rFonts w:ascii="Courier New" w:hAnsi="Courier New"/>
                <w:b w:val="0"/>
                <w:i w:val="0"/>
                <w:sz w:val="20"/>
              </w:rPr>
              <w:t>passed: false</w:t>
            </w:r>
          </w:p>
        </w:tc>
      </w:tr>
      <w:tr>
        <w:trPr>
          <w:cantSplit/>
        </w:trPr>
        <w:tc>
          <w:tcPr>
            <w:tcW w:type="dxa" w:w="4608"/>
          </w:tcPr>
          <w:p>
            <w:pPr>
              <w:spacing w:after="80" w:before="80"/>
            </w:pPr>
            <w:r>
              <w:rPr>
                <w:b w:val="0"/>
                <w:i w:val="0"/>
                <w:sz w:val="20"/>
              </w:rPr>
              <w:t>Original comparison</w:t>
            </w:r>
          </w:p>
        </w:tc>
        <w:tc>
          <w:tcPr>
            <w:tcW w:type="dxa" w:w="5472"/>
          </w:tcPr>
          <w:p>
            <w:pPr>
              <w:spacing w:after="80" w:before="80"/>
            </w:pPr>
            <w:r>
              <w:rPr>
                <w:rFonts w:ascii="Courier New" w:hAnsi="Courier New"/>
                <w:b w:val="0"/>
                <w:i w:val="0"/>
                <w:sz w:val="20"/>
              </w:rPr>
              <w:t>partial-invoicing-review-required</w:t>
            </w:r>
          </w:p>
        </w:tc>
      </w:tr>
      <w:tr>
        <w:trPr>
          <w:cantSplit/>
        </w:trPr>
        <w:tc>
          <w:tcPr>
            <w:tcW w:type="dxa" w:w="4608"/>
          </w:tcPr>
          <w:p>
            <w:pPr>
              <w:spacing w:after="80" w:before="80"/>
            </w:pPr>
            <w:r>
              <w:rPr>
                <w:b w:val="0"/>
                <w:i w:val="0"/>
                <w:sz w:val="20"/>
              </w:rPr>
              <w:t>New judge version</w:t>
            </w:r>
          </w:p>
        </w:tc>
        <w:tc>
          <w:tcPr>
            <w:tcW w:type="dxa" w:w="5472"/>
          </w:tcPr>
          <w:p>
            <w:pPr>
              <w:spacing w:after="80" w:before="80"/>
            </w:pPr>
            <w:r>
              <w:rPr>
                <w:rFonts w:ascii="Courier New" w:hAnsi="Courier New"/>
                <w:b w:val="0"/>
                <w:i w:val="0"/>
                <w:sz w:val="20"/>
              </w:rPr>
              <w:t>idempiere-partial-invoic​ing-comparison-v2</w:t>
            </w:r>
          </w:p>
        </w:tc>
      </w:tr>
      <w:tr>
        <w:trPr>
          <w:cantSplit/>
        </w:trPr>
        <w:tc>
          <w:tcPr>
            <w:tcW w:type="dxa" w:w="4608"/>
          </w:tcPr>
          <w:p>
            <w:pPr>
              <w:spacing w:after="80" w:before="80"/>
            </w:pPr>
            <w:r>
              <w:rPr>
                <w:b w:val="0"/>
                <w:i w:val="0"/>
                <w:sz w:val="20"/>
              </w:rPr>
              <w:t>New assessment</w:t>
            </w:r>
          </w:p>
        </w:tc>
        <w:tc>
          <w:tcPr>
            <w:tcW w:type="dxa" w:w="5472"/>
          </w:tcPr>
          <w:p>
            <w:pPr>
              <w:spacing w:after="80" w:before="80"/>
            </w:pPr>
            <w:r>
              <w:rPr>
                <w:rFonts w:ascii="Courier New" w:hAnsi="Courier New"/>
                <w:b w:val="0"/>
                <w:i w:val="0"/>
                <w:sz w:val="20"/>
              </w:rPr>
              <w:t>passed-bounded-partial-i​nvoicing-contract-v2</w:t>
            </w:r>
          </w:p>
        </w:tc>
      </w:tr>
      <w:tr>
        <w:trPr>
          <w:cantSplit/>
        </w:trPr>
        <w:tc>
          <w:tcPr>
            <w:tcW w:type="dxa" w:w="4608"/>
          </w:tcPr>
          <w:p>
            <w:pPr>
              <w:spacing w:after="80" w:before="80"/>
            </w:pPr>
            <w:r>
              <w:rPr>
                <w:b w:val="0"/>
                <w:i w:val="0"/>
                <w:sz w:val="20"/>
              </w:rPr>
              <w:t>Additional execution</w:t>
            </w:r>
          </w:p>
        </w:tc>
        <w:tc>
          <w:tcPr>
            <w:tcW w:type="dxa" w:w="5472"/>
          </w:tcPr>
          <w:p>
            <w:pPr>
              <w:spacing w:after="80" w:before="80"/>
            </w:pPr>
            <w:r>
              <w:rPr>
                <w:b w:val="0"/>
                <w:i w:val="0"/>
                <w:sz w:val="20"/>
              </w:rPr>
              <w:t>Zero model calls; zero native executions; no cloud resources started</w:t>
            </w:r>
          </w:p>
        </w:tc>
      </w:tr>
    </w:tbl>
    <w:p>
      <w:pPr>
        <w:spacing w:after="0"/>
      </w:pPr>
    </w:p>
    <w:p>
      <w:pPr>
        <w:pStyle w:val="Heading2"/>
      </w:pPr>
      <w:r>
        <w:rPr>
          <w:b w:val="0"/>
          <w:i w:val="0"/>
        </w:rPr>
        <w:t>Why this matters</w:t>
      </w:r>
    </w:p>
    <w:p>
      <w:pPr/>
      <w:r>
        <w:rPr>
          <w:b w:val="0"/>
          <w:i w:val="0"/>
        </w:rPr>
        <w:t>A migration can produce the right business result while two engines print a number differently or store different time precision. A blanket normalization can hide a real defect. Leaving every representational difference unresolved can also obscure a valid result. MS90 makes the accepted boundary explicit, narrow, versioned and auditable.</w:t>
      </w:r>
    </w:p>
    <w:p>
      <w:pPr/>
      <w:r>
        <w:rPr>
          <w:b w:val="0"/>
          <w:i w:val="0"/>
        </w:rPr>
        <w:t>The factory generated the candidate. The original deterministic judge exposed the differences. A person accepted a limited precision contract. A separately versioned deterministic judge then assessed the retained observations against that contract. The builder did not receive expected business outputs or edit its candidate during this reassessment.</w:t>
      </w:r>
    </w:p>
    <w:p>
      <w:pPr>
        <w:pStyle w:val="Heading2"/>
      </w:pPr>
      <w:r>
        <w:rPr>
          <w:b w:val="0"/>
          <w:i w:val="0"/>
        </w:rPr>
        <w:t>The observed business journey</w:t>
      </w:r>
    </w:p>
    <w:p>
      <w:pPr/>
      <w:r>
        <w:rPr>
          <w:b w:val="0"/>
          <w:i w:val="0"/>
        </w:rPr>
        <w:t>Both native lanes completed the same partial-invoicing scenario. Three ordered units were shipped and invoiced in portions of one and two. The observed invoice totals were 19.35 and 38.69, including tax of 1.35 and 2.70. The original lane checks verified 28 accounting entries in 12 balanced groups per engine. Starting stock of ten became seven. These business checks and expected values were not relaxed.</w:t>
      </w:r>
    </w:p>
    <w:p>
      <w:pPr>
        <w:pStyle w:val="Heading1"/>
      </w:pPr>
      <w:r>
        <w:rPr>
          <w:b w:val="0"/>
          <w:i w:val="0"/>
        </w:rPr>
        <w:t>The precise comparison contract</w:t>
      </w:r>
    </w:p>
    <w:p>
      <w:pPr>
        <w:pStyle w:val="Heading2"/>
      </w:pPr>
      <w:r>
        <w:rPr>
          <w:b w:val="0"/>
          <w:i w:val="0"/>
        </w:rPr>
        <w:t>Numeric values: equality without rounding</w:t>
      </w:r>
    </w:p>
    <w:p>
      <w:pPr/>
      <w:r>
        <w:rPr>
          <w:b w:val="0"/>
          <w:i w:val="0"/>
        </w:rPr>
        <w:t xml:space="preserve">Only </w:t>
      </w:r>
      <w:r>
        <w:rPr>
          <w:rFonts w:ascii="Courier New" w:hAnsi="Courier New"/>
          <w:b w:val="0"/>
          <w:i w:val="0"/>
          <w:sz w:val="18"/>
        </w:rPr>
        <w:t>order.discount</w:t>
      </w:r>
      <w:r>
        <w:rPr>
          <w:b w:val="0"/>
          <w:i w:val="0"/>
        </w:rPr>
        <w:t xml:space="preserve">, </w:t>
      </w:r>
      <w:r>
        <w:rPr>
          <w:rFonts w:ascii="Courier New" w:hAnsi="Courier New"/>
          <w:b w:val="0"/>
          <w:i w:val="0"/>
          <w:sz w:val="18"/>
        </w:rPr>
        <w:t>order.reserved</w:t>
      </w:r>
      <w:r>
        <w:rPr>
          <w:b w:val="0"/>
          <w:i w:val="0"/>
        </w:rPr>
        <w:t xml:space="preserve"> and </w:t>
      </w:r>
      <w:r>
        <w:rPr>
          <w:rFonts w:ascii="Courier New" w:hAnsi="Courier New"/>
          <w:b w:val="0"/>
          <w:i w:val="0"/>
          <w:sz w:val="18"/>
        </w:rPr>
        <w:t>shipment.delivered</w:t>
      </w:r>
      <w:r>
        <w:rPr>
          <w:b w:val="0"/>
          <w:i w:val="0"/>
        </w:rPr>
        <w:t xml:space="preserve"> receive the new numeric rule. Both strings must parse as finite decimal values, and their mathematical values must be exactly equal. The comparison uses decimal arithmetic, not binary floating point. It introduces no tolerance and performs no rounding.</w:t>
      </w:r>
    </w:p>
    <w:tbl>
      <w:tblPr>
        <w:tblStyle w:val="LightShading-Accent1"/>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2520"/>
          </w:tcPr>
          <w:p>
            <w:pPr>
              <w:spacing w:after="80" w:before="80"/>
            </w:pPr>
            <w:r>
              <w:rPr>
                <w:b/>
                <w:i w:val="0"/>
                <w:sz w:val="20"/>
              </w:rPr>
              <w:t>Field</w:t>
            </w:r>
          </w:p>
        </w:tc>
        <w:tc>
          <w:tcPr>
            <w:tcW w:type="dxa" w:w="2520"/>
          </w:tcPr>
          <w:p>
            <w:pPr>
              <w:spacing w:after="80" w:before="80"/>
            </w:pPr>
            <w:r>
              <w:rPr>
                <w:b/>
                <w:i w:val="0"/>
                <w:sz w:val="20"/>
              </w:rPr>
              <w:t>Oracle</w:t>
            </w:r>
          </w:p>
        </w:tc>
        <w:tc>
          <w:tcPr>
            <w:tcW w:type="dxa" w:w="2520"/>
          </w:tcPr>
          <w:p>
            <w:pPr>
              <w:spacing w:after="80" w:before="80"/>
            </w:pPr>
            <w:r>
              <w:rPr>
                <w:b/>
                <w:i w:val="0"/>
                <w:sz w:val="20"/>
              </w:rPr>
              <w:t>PostgreSQL</w:t>
            </w:r>
          </w:p>
        </w:tc>
        <w:tc>
          <w:tcPr>
            <w:tcW w:type="dxa" w:w="2520"/>
          </w:tcPr>
          <w:p>
            <w:pPr>
              <w:spacing w:after="80" w:before="80"/>
            </w:pPr>
            <w:r>
              <w:rPr>
                <w:b/>
                <w:i w:val="0"/>
                <w:sz w:val="20"/>
              </w:rPr>
              <w:t>Version-2 treatment</w:t>
            </w:r>
          </w:p>
        </w:tc>
      </w:tr>
      <w:tr>
        <w:trPr>
          <w:cantSplit/>
        </w:trPr>
        <w:tc>
          <w:tcPr>
            <w:tcW w:type="dxa" w:w="2520"/>
          </w:tcPr>
          <w:p>
            <w:pPr>
              <w:spacing w:after="80" w:before="80"/>
            </w:pPr>
            <w:r>
              <w:rPr>
                <w:rFonts w:ascii="Courier New" w:hAnsi="Courier New"/>
                <w:b w:val="0"/>
                <w:i w:val="0"/>
                <w:sz w:val="20"/>
              </w:rPr>
              <w:t>order.discount</w:t>
            </w:r>
          </w:p>
        </w:tc>
        <w:tc>
          <w:tcPr>
            <w:tcW w:type="dxa" w:w="2520"/>
          </w:tcPr>
          <w:p>
            <w:pPr>
              <w:spacing w:after="80" w:before="80"/>
            </w:pPr>
            <w:r>
              <w:rPr>
                <w:rFonts w:ascii="Courier New" w:hAnsi="Courier New"/>
                <w:b w:val="0"/>
                <w:i w:val="0"/>
                <w:sz w:val="20"/>
              </w:rPr>
              <w:t>10</w:t>
            </w:r>
          </w:p>
        </w:tc>
        <w:tc>
          <w:tcPr>
            <w:tcW w:type="dxa" w:w="2520"/>
          </w:tcPr>
          <w:p>
            <w:pPr>
              <w:spacing w:after="80" w:before="80"/>
            </w:pPr>
            <w:r>
              <w:rPr>
                <w:rFonts w:ascii="Courier New" w:hAnsi="Courier New"/>
                <w:b w:val="0"/>
                <w:i w:val="0"/>
                <w:sz w:val="20"/>
              </w:rPr>
              <w:t>10.00</w:t>
            </w:r>
          </w:p>
        </w:tc>
        <w:tc>
          <w:tcPr>
            <w:tcW w:type="dxa" w:w="2520"/>
          </w:tcPr>
          <w:p>
            <w:pPr>
              <w:spacing w:after="80" w:before="80"/>
            </w:pPr>
            <w:r>
              <w:rPr>
                <w:b w:val="0"/>
                <w:i w:val="0"/>
                <w:sz w:val="20"/>
              </w:rPr>
              <w:t>Equal exact decimal values</w:t>
            </w:r>
          </w:p>
        </w:tc>
      </w:tr>
      <w:tr>
        <w:trPr>
          <w:cantSplit/>
        </w:trPr>
        <w:tc>
          <w:tcPr>
            <w:tcW w:type="dxa" w:w="2520"/>
          </w:tcPr>
          <w:p>
            <w:pPr>
              <w:spacing w:after="80" w:before="80"/>
            </w:pPr>
            <w:r>
              <w:rPr>
                <w:rFonts w:ascii="Courier New" w:hAnsi="Courier New"/>
                <w:b w:val="0"/>
                <w:i w:val="0"/>
                <w:sz w:val="20"/>
              </w:rPr>
              <w:t>order.reserved</w:t>
            </w:r>
          </w:p>
        </w:tc>
        <w:tc>
          <w:tcPr>
            <w:tcW w:type="dxa" w:w="2520"/>
          </w:tcPr>
          <w:p>
            <w:pPr>
              <w:spacing w:after="80" w:before="80"/>
            </w:pPr>
            <w:r>
              <w:rPr>
                <w:rFonts w:ascii="Courier New" w:hAnsi="Courier New"/>
                <w:b w:val="0"/>
                <w:i w:val="0"/>
                <w:sz w:val="20"/>
              </w:rPr>
              <w:t>3</w:t>
            </w:r>
          </w:p>
        </w:tc>
        <w:tc>
          <w:tcPr>
            <w:tcW w:type="dxa" w:w="2520"/>
          </w:tcPr>
          <w:p>
            <w:pPr>
              <w:spacing w:after="80" w:before="80"/>
            </w:pPr>
            <w:r>
              <w:rPr>
                <w:rFonts w:ascii="Courier New" w:hAnsi="Courier New"/>
                <w:b w:val="0"/>
                <w:i w:val="0"/>
                <w:sz w:val="20"/>
              </w:rPr>
              <w:t>3.0</w:t>
            </w:r>
          </w:p>
        </w:tc>
        <w:tc>
          <w:tcPr>
            <w:tcW w:type="dxa" w:w="2520"/>
          </w:tcPr>
          <w:p>
            <w:pPr>
              <w:spacing w:after="80" w:before="80"/>
            </w:pPr>
            <w:r>
              <w:rPr>
                <w:b w:val="0"/>
                <w:i w:val="0"/>
                <w:sz w:val="20"/>
              </w:rPr>
              <w:t>Equal exact decimal values</w:t>
            </w:r>
          </w:p>
        </w:tc>
      </w:tr>
      <w:tr>
        <w:trPr>
          <w:cantSplit/>
        </w:trPr>
        <w:tc>
          <w:tcPr>
            <w:tcW w:type="dxa" w:w="2520"/>
          </w:tcPr>
          <w:p>
            <w:pPr>
              <w:spacing w:after="80" w:before="80"/>
            </w:pPr>
            <w:r>
              <w:rPr>
                <w:rFonts w:ascii="Courier New" w:hAnsi="Courier New"/>
                <w:b w:val="0"/>
                <w:i w:val="0"/>
                <w:sz w:val="20"/>
              </w:rPr>
              <w:t>shipment.delivered</w:t>
            </w:r>
          </w:p>
        </w:tc>
        <w:tc>
          <w:tcPr>
            <w:tcW w:type="dxa" w:w="2520"/>
          </w:tcPr>
          <w:p>
            <w:pPr>
              <w:spacing w:after="80" w:before="80"/>
            </w:pPr>
            <w:r>
              <w:rPr>
                <w:rFonts w:ascii="Courier New" w:hAnsi="Courier New"/>
                <w:b w:val="0"/>
                <w:i w:val="0"/>
                <w:sz w:val="20"/>
              </w:rPr>
              <w:t>3</w:t>
            </w:r>
          </w:p>
        </w:tc>
        <w:tc>
          <w:tcPr>
            <w:tcW w:type="dxa" w:w="2520"/>
          </w:tcPr>
          <w:p>
            <w:pPr>
              <w:spacing w:after="80" w:before="80"/>
            </w:pPr>
            <w:r>
              <w:rPr>
                <w:rFonts w:ascii="Courier New" w:hAnsi="Courier New"/>
                <w:b w:val="0"/>
                <w:i w:val="0"/>
                <w:sz w:val="20"/>
              </w:rPr>
              <w:t>3.0</w:t>
            </w:r>
          </w:p>
        </w:tc>
        <w:tc>
          <w:tcPr>
            <w:tcW w:type="dxa" w:w="2520"/>
          </w:tcPr>
          <w:p>
            <w:pPr>
              <w:spacing w:after="80" w:before="80"/>
            </w:pPr>
            <w:r>
              <w:rPr>
                <w:b w:val="0"/>
                <w:i w:val="0"/>
                <w:sz w:val="20"/>
              </w:rPr>
              <w:t>Equal exact decimal values</w:t>
            </w:r>
          </w:p>
        </w:tc>
      </w:tr>
    </w:tbl>
    <w:p>
      <w:pPr>
        <w:spacing w:after="0"/>
      </w:pPr>
    </w:p>
    <w:p>
      <w:pPr/>
      <w:r>
        <w:rPr>
          <w:b w:val="0"/>
          <w:i w:val="0"/>
        </w:rPr>
        <w:t xml:space="preserve">For example, </w:t>
      </w:r>
      <w:r>
        <w:rPr>
          <w:rFonts w:ascii="Courier New" w:hAnsi="Courier New"/>
          <w:b w:val="0"/>
          <w:i w:val="0"/>
          <w:sz w:val="18"/>
        </w:rPr>
        <w:t>10</w:t>
      </w:r>
      <w:r>
        <w:rPr>
          <w:b w:val="0"/>
          <w:i w:val="0"/>
        </w:rPr>
        <w:t xml:space="preserve"> and </w:t>
      </w:r>
      <w:r>
        <w:rPr>
          <w:rFonts w:ascii="Courier New" w:hAnsi="Courier New"/>
          <w:b w:val="0"/>
          <w:i w:val="0"/>
          <w:sz w:val="18"/>
        </w:rPr>
        <w:t>10.000000000000001</w:t>
      </w:r>
      <w:r>
        <w:rPr>
          <w:b w:val="0"/>
          <w:i w:val="0"/>
        </w:rPr>
        <w:t xml:space="preserve"> still differ. </w:t>
      </w:r>
      <w:r>
        <w:rPr>
          <w:rFonts w:ascii="Courier New" w:hAnsi="Courier New"/>
          <w:b w:val="0"/>
          <w:i w:val="0"/>
          <w:sz w:val="18"/>
        </w:rPr>
        <w:t>NaN</w:t>
      </w:r>
      <w:r>
        <w:rPr>
          <w:b w:val="0"/>
          <w:i w:val="0"/>
        </w:rPr>
        <w:t>, infinity, missing values and whitespace-padded values are rejected. The rule is not applied globally to other amounts, invoice totals or arbitrary trace fields.</w:t>
      </w:r>
    </w:p>
    <w:p>
      <w:pPr>
        <w:pStyle w:val="Heading2"/>
      </w:pPr>
      <w:r>
        <w:rPr>
          <w:b w:val="0"/>
          <w:i w:val="0"/>
        </w:rPr>
        <w:t>Shipment dates: an owned precision decision</w:t>
      </w:r>
    </w:p>
    <w:p>
      <w:pPr/>
      <w:r>
        <w:rPr>
          <w:b w:val="0"/>
          <w:i w:val="0"/>
        </w:rPr>
        <w:t xml:space="preserve">The signed decision </w:t>
      </w:r>
      <w:r>
        <w:rPr>
          <w:rFonts w:ascii="Courier New" w:hAnsi="Courier New"/>
          <w:b w:val="0"/>
          <w:i w:val="0"/>
          <w:sz w:val="18"/>
        </w:rPr>
        <w:t>idempiere-oracle-date-seconds-v1</w:t>
      </w:r>
      <w:r>
        <w:rPr>
          <w:b w:val="0"/>
          <w:i w:val="0"/>
        </w:rPr>
        <w:t xml:space="preserve"> belongs to </w:t>
      </w:r>
      <w:r>
        <w:rPr>
          <w:b/>
          <w:i w:val="0"/>
        </w:rPr>
        <w:t>Howard Weale</w:t>
      </w:r>
      <w:r>
        <w:rPr>
          <w:b w:val="0"/>
          <w:i w:val="0"/>
        </w:rPr>
        <w:t xml:space="preserve">, takes effect on </w:t>
      </w:r>
      <w:r>
        <w:rPr>
          <w:b/>
          <w:i w:val="0"/>
        </w:rPr>
        <w:t>26 September 2026</w:t>
      </w:r>
      <w:r>
        <w:rPr>
          <w:b w:val="0"/>
          <w:i w:val="0"/>
        </w:rPr>
        <w:t xml:space="preserve">, and must be reviewed on </w:t>
      </w:r>
      <w:r>
        <w:rPr>
          <w:b/>
          <w:i w:val="0"/>
        </w:rPr>
        <w:t>25 December 2026</w:t>
      </w:r>
      <w:r>
        <w:rPr>
          <w:b w:val="0"/>
          <w:i w:val="0"/>
        </w:rPr>
        <w:t>. A new assessment on or after that review date is rejected until an appropriate renewed decision and versioned policy are supplied.</w:t>
      </w:r>
    </w:p>
    <w:p>
      <w:pPr/>
      <w:r>
        <w:rPr>
          <w:b w:val="0"/>
          <w:i w:val="0"/>
        </w:rPr>
        <w:t xml:space="preserve">Its only column is </w:t>
      </w:r>
      <w:r>
        <w:rPr>
          <w:rFonts w:ascii="Courier New" w:hAnsi="Courier New"/>
          <w:b w:val="0"/>
          <w:i w:val="0"/>
          <w:sz w:val="18"/>
        </w:rPr>
        <w:t>adempiere.m_inout.shipdate</w:t>
      </w:r>
      <w:r>
        <w:rPr>
          <w:b w:val="0"/>
          <w:i w:val="0"/>
        </w:rPr>
        <w:t xml:space="preserve">, for the first and second shipments. The retained native catalogs and states show Oracle </w:t>
      </w:r>
      <w:r>
        <w:rPr>
          <w:rFonts w:ascii="Courier New" w:hAnsi="Courier New"/>
          <w:b w:val="0"/>
          <w:i w:val="0"/>
          <w:sz w:val="18"/>
        </w:rPr>
        <w:t>DATE</w:t>
      </w:r>
      <w:r>
        <w:rPr>
          <w:b w:val="0"/>
          <w:i w:val="0"/>
        </w:rPr>
        <w:t xml:space="preserve">, PostgreSQL </w:t>
      </w:r>
      <w:r>
        <w:rPr>
          <w:rFonts w:ascii="Courier New" w:hAnsi="Courier New"/>
          <w:b w:val="0"/>
          <w:i w:val="0"/>
          <w:sz w:val="18"/>
        </w:rPr>
        <w:t>timestamp without time zone</w:t>
      </w:r>
      <w:r>
        <w:rPr>
          <w:b w:val="0"/>
          <w:i w:val="0"/>
        </w:rPr>
        <w:t>, and UTC capture sessions on both sides. Each trace value must bind to the corresponding native shipment row and identifier.</w:t>
      </w:r>
    </w:p>
    <w:p>
      <w:pPr/>
      <w:r>
        <w:rPr>
          <w:b w:val="0"/>
          <w:i w:val="0"/>
        </w:rPr>
        <w:t xml:space="preserve">The observed Oracle value is </w:t>
      </w:r>
      <w:r>
        <w:rPr>
          <w:rFonts w:ascii="Courier New" w:hAnsi="Courier New"/>
          <w:b w:val="0"/>
          <w:i w:val="0"/>
          <w:sz w:val="18"/>
        </w:rPr>
        <w:t>2026-09-26T12:34:56</w:t>
      </w:r>
      <w:r>
        <w:rPr>
          <w:b w:val="0"/>
          <w:i w:val="0"/>
        </w:rPr>
        <w:t xml:space="preserve">; PostgreSQL retains </w:t>
      </w:r>
      <w:r>
        <w:rPr>
          <w:rFonts w:ascii="Courier New" w:hAnsi="Courier New"/>
          <w:b w:val="0"/>
          <w:i w:val="0"/>
          <w:sz w:val="18"/>
        </w:rPr>
        <w:t>2026-09-26T12:34:56.123456</w:t>
      </w:r>
      <w:r>
        <w:rPr>
          <w:b w:val="0"/>
          <w:i w:val="0"/>
        </w:rPr>
        <w:t>. Version 2 admits that fractional loss only because the Oracle fraction is zero and every component through whole seconds matches. It never rounds into the next second.</w:t>
      </w:r>
    </w:p>
    <w:p>
      <w:pPr>
        <w:pStyle w:val="Heading2"/>
      </w:pPr>
      <w:r>
        <w:rPr>
          <w:b w:val="0"/>
          <w:i w:val="0"/>
        </w:rPr>
        <w:t>Boundaries that remain enforced</w:t>
      </w:r>
    </w:p>
    <w:p>
      <w:pPr/>
      <w:r>
        <w:rPr>
          <w:b w:val="0"/>
          <w:i w:val="0"/>
        </w:rPr>
        <w:t>A different second, another column, a different native datatype, an unsupported timezone context, an invalid date, an offset-bearing value or a mismatched row identity is not admitted. Subsecond ordering, audit timing and service-level timing guarantees remain outside the accepted scope. The captured database-session facts do not establish arbitrary application-client or production timezone equivalence.</w:t>
      </w:r>
    </w:p>
    <w:p>
      <w:pPr/>
      <w:r>
        <w:rPr>
          <w:b w:val="0"/>
          <w:i w:val="0"/>
        </w:rPr>
        <w:t>Two native row differences and two corresponding trace differences describe the same two shipment timestamps. Along with the three numeric trace differences, the new report admits five trace findings and two row witnesses. These are not seven independent defects. Every original value remains visible.</w:t>
      </w:r>
    </w:p>
    <w:p>
      <w:pPr>
        <w:pStyle w:val="Heading1"/>
      </w:pPr>
      <w:r>
        <w:rPr>
          <w:b w:val="0"/>
          <w:i w:val="0"/>
        </w:rPr>
        <w:t>Preservation and verification</w:t>
      </w:r>
    </w:p>
    <w:p>
      <w:pPr>
        <w:pStyle w:val="Heading2"/>
      </w:pPr>
      <w:r>
        <w:rPr>
          <w:b w:val="0"/>
          <w:i w:val="0"/>
        </w:rPr>
        <w:t>One evidence set, two labelled verdicts</w:t>
      </w:r>
    </w:p>
    <w:p>
      <w:pPr/>
      <w:r>
        <w:rPr>
          <w:b w:val="0"/>
          <w:i w:val="0"/>
        </w:rPr>
        <w:t>The assessment command verifies the source run's signatures, authorization, journal chain, plan, cleanup and implementation hashes. It hashes the retained source files, copies them to a separate workspace, and reruns the unchanged original judge on that copy. This is a deterministic replay over recorded observations; no database is started.</w:t>
      </w:r>
    </w:p>
    <w:p>
      <w:pPr/>
      <w:r>
        <w:rPr>
          <w:b w:val="0"/>
          <w:i w:val="0"/>
        </w:rPr>
        <w:t>The reproduced original gate must equal the original gate exactly. Only then can the new comparison run. Afterward, the command hashes the source files again and checks that the policy, decision and pinned implementation did not change. It refuses an existing output directory, keeping each publication separate.</w:t>
      </w:r>
    </w:p>
    <w:p>
      <w:pPr/>
      <w:r>
        <w:rPr>
          <w:b w:val="0"/>
          <w:i w:val="0"/>
        </w:rPr>
        <w:t xml:space="preserve">The signed version-2 receipt reports both </w:t>
      </w:r>
      <w:r>
        <w:rPr>
          <w:rFonts w:ascii="Courier New" w:hAnsi="Courier New"/>
          <w:b w:val="0"/>
          <w:i w:val="0"/>
          <w:sz w:val="18"/>
        </w:rPr>
        <w:t>original_gate_passed: false</w:t>
      </w:r>
      <w:r>
        <w:rPr>
          <w:b w:val="0"/>
          <w:i w:val="0"/>
        </w:rPr>
        <w:t xml:space="preserve"> and its own </w:t>
      </w:r>
      <w:r>
        <w:rPr>
          <w:rFonts w:ascii="Courier New" w:hAnsi="Courier New"/>
          <w:b w:val="0"/>
          <w:i w:val="0"/>
          <w:sz w:val="18"/>
        </w:rPr>
        <w:t>passed: true</w:t>
      </w:r>
      <w:r>
        <w:rPr>
          <w:b w:val="0"/>
          <w:i w:val="0"/>
        </w:rPr>
        <w:t xml:space="preserve">, together with </w:t>
      </w:r>
      <w:r>
        <w:rPr>
          <w:rFonts w:ascii="Courier New" w:hAnsi="Courier New"/>
          <w:b w:val="0"/>
          <w:i w:val="0"/>
          <w:sz w:val="18"/>
        </w:rPr>
        <w:t>original_gate_reproduced: true</w:t>
      </w:r>
      <w:r>
        <w:rPr>
          <w:b w:val="0"/>
          <w:i w:val="0"/>
        </w:rPr>
        <w:t xml:space="preserve"> and </w:t>
      </w:r>
      <w:r>
        <w:rPr>
          <w:rFonts w:ascii="Courier New" w:hAnsi="Courier New"/>
          <w:b w:val="0"/>
          <w:i w:val="0"/>
          <w:sz w:val="18"/>
        </w:rPr>
        <w:t>original_source_preserved: true</w:t>
      </w:r>
      <w:r>
        <w:rPr>
          <w:b w:val="0"/>
          <w:i w:val="0"/>
        </w:rPr>
        <w:t>. The old run, original gate modules, candidate, observations and campaign accounting remain intact.</w:t>
      </w:r>
    </w:p>
    <w:p>
      <w:pPr>
        <w:pStyle w:val="Heading2"/>
      </w:pPr>
      <w:r>
        <w:rPr>
          <w:b w:val="0"/>
          <w:i w:val="0"/>
        </w:rPr>
        <w:t>Evidence identities</w:t>
      </w:r>
    </w:p>
    <w:p>
      <w:pPr/>
      <w:r>
        <w:rPr>
          <w:b w:val="0"/>
          <w:i w:val="0"/>
        </w:rPr>
        <w:t>Native run:</w:t>
      </w:r>
    </w:p>
    <w:p>
      <w:pPr/>
      <w:r>
        <w:rPr>
          <w:rFonts w:ascii="Courier New" w:hAnsi="Courier New"/>
          <w:b w:val="0"/>
          <w:i w:val="0"/>
          <w:sz w:val="18"/>
        </w:rPr>
        <w:t>journey-2ba2716e5c1749f8​9bdecd4cb1d17280</w:t>
      </w:r>
    </w:p>
    <w:p>
      <w:pPr/>
      <w:r>
        <w:rPr>
          <w:b w:val="0"/>
          <w:i w:val="0"/>
        </w:rPr>
        <w:t>Original native receipt SHA-256:</w:t>
      </w:r>
    </w:p>
    <w:p>
      <w:pPr/>
      <w:r>
        <w:rPr>
          <w:rFonts w:ascii="Courier New" w:hAnsi="Courier New"/>
          <w:b w:val="0"/>
          <w:i w:val="0"/>
          <w:sz w:val="18"/>
        </w:rPr>
        <w:t>48050fbc9b40cc011ef6af9a​8b0beae434250a8132e9c02c​15254ae11492638e</w:t>
      </w:r>
    </w:p>
    <w:p>
      <w:pPr/>
      <w:r>
        <w:rPr>
          <w:b w:val="0"/>
          <w:i w:val="0"/>
        </w:rPr>
        <w:t>Original gate SHA-256:</w:t>
      </w:r>
    </w:p>
    <w:p>
      <w:pPr/>
      <w:r>
        <w:rPr>
          <w:rFonts w:ascii="Courier New" w:hAnsi="Courier New"/>
          <w:b w:val="0"/>
          <w:i w:val="0"/>
          <w:sz w:val="18"/>
        </w:rPr>
        <w:t>0daa3611ff724b799782466f​f74e1c5f9e7790162bc19341​85edf6968689d7b2</w:t>
      </w:r>
    </w:p>
    <w:p>
      <w:pPr/>
      <w:r>
        <w:rPr>
          <w:b w:val="0"/>
          <w:i w:val="0"/>
        </w:rPr>
        <w:t>Version-2 comparison SHA-256:</w:t>
      </w:r>
    </w:p>
    <w:p>
      <w:pPr/>
      <w:r>
        <w:rPr>
          <w:rFonts w:ascii="Courier New" w:hAnsi="Courier New"/>
          <w:b w:val="0"/>
          <w:i w:val="0"/>
          <w:sz w:val="18"/>
        </w:rPr>
        <w:t>bcd6e62cd09ed800e02e5ad1​bae2f57b480e2116a4ee1d60​91a60e8ed7dcf6bf</w:t>
      </w:r>
    </w:p>
    <w:p>
      <w:pPr/>
      <w:r>
        <w:rPr>
          <w:b w:val="0"/>
          <w:i w:val="0"/>
        </w:rPr>
        <w:t>Version-2 signed receipt SHA-256:</w:t>
      </w:r>
    </w:p>
    <w:p>
      <w:pPr/>
      <w:r>
        <w:rPr>
          <w:rFonts w:ascii="Courier New" w:hAnsi="Courier New"/>
          <w:b w:val="0"/>
          <w:i w:val="0"/>
          <w:sz w:val="18"/>
        </w:rPr>
        <w:t>dde77f010e9f6dcd56071497​706b1b201c84012a588cd415​3a692ec2fe55f1fb</w:t>
      </w:r>
    </w:p>
    <w:p>
      <w:pPr>
        <w:pStyle w:val="Heading2"/>
      </w:pPr>
      <w:r>
        <w:rPr>
          <w:b w:val="0"/>
          <w:i w:val="0"/>
        </w:rPr>
        <w:t>What offline verification establishes</w:t>
      </w:r>
    </w:p>
    <w:p>
      <w:pPr/>
      <w:r>
        <w:rPr>
          <w:b w:val="0"/>
          <w:i w:val="0"/>
        </w:rPr>
        <w:t>The published assessment contains the new plan and authorization, policy, signed timestamp decision, original receipt and journal, original gate and effect summary, native lane summaries, comparison and public key. The verification command checks the signatures and hash bindings and recomputes version 2 from these retained summaries.</w:t>
      </w:r>
    </w:p>
    <w:p>
      <w:pPr/>
      <w:r>
        <w:rPr>
          <w:b w:val="0"/>
          <w:i w:val="0"/>
        </w:rPr>
        <w:t xml:space="preserve">That small publication does not contain all native row captures. Its verifier explicitly returns </w:t>
      </w:r>
      <w:r>
        <w:rPr>
          <w:rFonts w:ascii="Courier New" w:hAnsi="Courier New"/>
          <w:b w:val="0"/>
          <w:i w:val="0"/>
          <w:sz w:val="18"/>
        </w:rPr>
        <w:t>full_native_gate_replayed: false</w:t>
      </w:r>
      <w:r>
        <w:rPr>
          <w:b w:val="0"/>
          <w:i w:val="0"/>
        </w:rPr>
        <w:t>; the full original gate was replayed during assessment creation using the retained local observations. Local signatures provide attribution and tamper evidence, not independent attestation. The public key must be checked against the separately trusted operator identity.</w:t>
      </w:r>
    </w:p>
    <w:p>
      <w:pPr>
        <w:pStyle w:val="Heading1"/>
      </w:pPr>
      <w:r>
        <w:rPr>
          <w:b w:val="0"/>
          <w:i w:val="0"/>
        </w:rPr>
        <w:t>Measured effort and validation</w:t>
      </w:r>
    </w:p>
    <w:p>
      <w:pPr>
        <w:pStyle w:val="Heading2"/>
      </w:pPr>
      <w:r>
        <w:rPr>
          <w:b w:val="0"/>
          <w:i w:val="0"/>
        </w:rPr>
        <w:t>Preserve the complete cost of reaching this result</w:t>
      </w:r>
    </w:p>
    <w:p>
      <w:pPr/>
      <w:r>
        <w:rPr>
          <w:b w:val="0"/>
          <w:i w:val="0"/>
        </w:rPr>
        <w:t>The table separates the cost already incurred by the MS89 campaign from the incremental deterministic assessment. Failed attempts remain included. The new scoped verdict does not retrospectively turn MS89's five original failed attempts into successful runs.</w:t>
      </w:r>
    </w:p>
    <w:tbl>
      <w:tblPr>
        <w:tblStyle w:val="LightShading-Accent1"/>
        <w:tblW w:type="auto" w:w="0"/>
        <w:tblLayout w:type="fixed"/>
        <w:tblLook w:firstColumn="1" w:firstRow="1" w:lastColumn="0" w:lastRow="0" w:noHBand="0" w:noVBand="1" w:val="04A0"/>
      </w:tblPr>
      <w:tblGrid>
        <w:gridCol w:w="4608"/>
        <w:gridCol w:w="5472"/>
      </w:tblGrid>
      <w:tr>
        <w:trPr>
          <w:cantSplit/>
          <w:tblHeader/>
        </w:trPr>
        <w:tc>
          <w:tcPr>
            <w:tcW w:type="dxa" w:w="4608"/>
          </w:tcPr>
          <w:p>
            <w:pPr>
              <w:spacing w:after="80" w:before="80"/>
            </w:pPr>
            <w:r>
              <w:rPr>
                <w:b/>
                <w:i w:val="0"/>
                <w:sz w:val="20"/>
              </w:rPr>
              <w:t>Measurement</w:t>
            </w:r>
          </w:p>
        </w:tc>
        <w:tc>
          <w:tcPr>
            <w:tcW w:type="dxa" w:w="5472"/>
          </w:tcPr>
          <w:p>
            <w:pPr>
              <w:spacing w:after="80" w:before="80"/>
            </w:pPr>
            <w:r>
              <w:rPr>
                <w:b/>
                <w:i w:val="0"/>
                <w:sz w:val="20"/>
              </w:rPr>
              <w:t>Recorded value</w:t>
            </w:r>
          </w:p>
        </w:tc>
      </w:tr>
      <w:tr>
        <w:trPr>
          <w:cantSplit/>
        </w:trPr>
        <w:tc>
          <w:tcPr>
            <w:tcW w:type="dxa" w:w="4608"/>
          </w:tcPr>
          <w:p>
            <w:pPr>
              <w:spacing w:after="80" w:before="80"/>
            </w:pPr>
            <w:r>
              <w:rPr>
                <w:b w:val="0"/>
                <w:i w:val="0"/>
                <w:sz w:val="20"/>
              </w:rPr>
              <w:t>MS89 client calls</w:t>
            </w:r>
          </w:p>
        </w:tc>
        <w:tc>
          <w:tcPr>
            <w:tcW w:type="dxa" w:w="5472"/>
          </w:tcPr>
          <w:p>
            <w:pPr>
              <w:spacing w:after="80" w:before="80"/>
            </w:pPr>
            <w:r>
              <w:rPr>
                <w:b w:val="0"/>
                <w:i w:val="0"/>
                <w:sz w:val="20"/>
              </w:rPr>
              <w:t>12: five builder and seven analyst; 20 authorized</w:t>
            </w:r>
          </w:p>
        </w:tc>
      </w:tr>
      <w:tr>
        <w:trPr>
          <w:cantSplit/>
        </w:trPr>
        <w:tc>
          <w:tcPr>
            <w:tcW w:type="dxa" w:w="4608"/>
          </w:tcPr>
          <w:p>
            <w:pPr>
              <w:spacing w:after="80" w:before="80"/>
            </w:pPr>
            <w:r>
              <w:rPr>
                <w:b w:val="0"/>
                <w:i w:val="0"/>
                <w:sz w:val="20"/>
              </w:rPr>
              <w:t>MS89 input / output tokens</w:t>
            </w:r>
          </w:p>
        </w:tc>
        <w:tc>
          <w:tcPr>
            <w:tcW w:type="dxa" w:w="5472"/>
          </w:tcPr>
          <w:p>
            <w:pPr>
              <w:spacing w:after="80" w:before="80"/>
            </w:pPr>
            <w:r>
              <w:rPr>
                <w:b w:val="0"/>
                <w:i w:val="0"/>
                <w:sz w:val="20"/>
              </w:rPr>
              <w:t>248,122 / 24,044; zero cached input</w:t>
            </w:r>
          </w:p>
        </w:tc>
      </w:tr>
      <w:tr>
        <w:trPr>
          <w:cantSplit/>
        </w:trPr>
        <w:tc>
          <w:tcPr>
            <w:tcW w:type="dxa" w:w="4608"/>
          </w:tcPr>
          <w:p>
            <w:pPr>
              <w:spacing w:after="80" w:before="80"/>
            </w:pPr>
            <w:r>
              <w:rPr>
                <w:b w:val="0"/>
                <w:i w:val="0"/>
                <w:sz w:val="20"/>
              </w:rPr>
              <w:t>MS89 native attempts</w:t>
            </w:r>
          </w:p>
        </w:tc>
        <w:tc>
          <w:tcPr>
            <w:tcW w:type="dxa" w:w="5472"/>
          </w:tcPr>
          <w:p>
            <w:pPr>
              <w:spacing w:after="80" w:before="80"/>
            </w:pPr>
            <w:r>
              <w:rPr>
                <w:b w:val="0"/>
                <w:i w:val="0"/>
                <w:sz w:val="20"/>
              </w:rPr>
              <w:t>Five; final attempt completed both lanes but failed the old combined gate</w:t>
            </w:r>
          </w:p>
        </w:tc>
      </w:tr>
      <w:tr>
        <w:trPr>
          <w:cantSplit/>
        </w:trPr>
        <w:tc>
          <w:tcPr>
            <w:tcW w:type="dxa" w:w="4608"/>
          </w:tcPr>
          <w:p>
            <w:pPr>
              <w:spacing w:after="80" w:before="80"/>
            </w:pPr>
            <w:r>
              <w:rPr>
                <w:b w:val="0"/>
                <w:i w:val="0"/>
                <w:sz w:val="20"/>
              </w:rPr>
              <w:t>MS89 failed client invocations</w:t>
            </w:r>
          </w:p>
        </w:tc>
        <w:tc>
          <w:tcPr>
            <w:tcW w:type="dxa" w:w="5472"/>
          </w:tcPr>
          <w:p>
            <w:pPr>
              <w:spacing w:after="80" w:before="80"/>
            </w:pPr>
            <w:r>
              <w:rPr>
                <w:b w:val="0"/>
                <w:i w:val="0"/>
                <w:sz w:val="20"/>
              </w:rPr>
              <w:t>Zero; usage available for all calls</w:t>
            </w:r>
          </w:p>
        </w:tc>
      </w:tr>
      <w:tr>
        <w:trPr>
          <w:cantSplit/>
        </w:trPr>
        <w:tc>
          <w:tcPr>
            <w:tcW w:type="dxa" w:w="4608"/>
          </w:tcPr>
          <w:p>
            <w:pPr>
              <w:spacing w:after="80" w:before="80"/>
            </w:pPr>
            <w:r>
              <w:rPr>
                <w:b w:val="0"/>
                <w:i w:val="0"/>
                <w:sz w:val="20"/>
              </w:rPr>
              <w:t>MS89 agent / native time</w:t>
            </w:r>
          </w:p>
        </w:tc>
        <w:tc>
          <w:tcPr>
            <w:tcW w:type="dxa" w:w="5472"/>
          </w:tcPr>
          <w:p>
            <w:pPr>
              <w:spacing w:after="80" w:before="80"/>
            </w:pPr>
            <w:r>
              <w:rPr>
                <w:b w:val="0"/>
                <w:i w:val="0"/>
                <w:sz w:val="20"/>
              </w:rPr>
              <w:t>804.031 / 1,488.561 seconds</w:t>
            </w:r>
          </w:p>
        </w:tc>
      </w:tr>
      <w:tr>
        <w:trPr>
          <w:cantSplit/>
        </w:trPr>
        <w:tc>
          <w:tcPr>
            <w:tcW w:type="dxa" w:w="4608"/>
          </w:tcPr>
          <w:p>
            <w:pPr>
              <w:spacing w:after="80" w:before="80"/>
            </w:pPr>
            <w:r>
              <w:rPr>
                <w:b w:val="0"/>
                <w:i w:val="0"/>
                <w:sz w:val="20"/>
              </w:rPr>
              <w:t>MS89 execution-segment time</w:t>
            </w:r>
          </w:p>
        </w:tc>
        <w:tc>
          <w:tcPr>
            <w:tcW w:type="dxa" w:w="5472"/>
          </w:tcPr>
          <w:p>
            <w:pPr>
              <w:spacing w:after="80" w:before="80"/>
            </w:pPr>
            <w:r>
              <w:rPr>
                <w:b w:val="0"/>
                <w:i w:val="0"/>
                <w:sz w:val="20"/>
              </w:rPr>
              <w:t>2,334.264 seconds (38.9 minutes), excluding stopped approval gaps</w:t>
            </w:r>
          </w:p>
        </w:tc>
      </w:tr>
      <w:tr>
        <w:trPr>
          <w:cantSplit/>
        </w:trPr>
        <w:tc>
          <w:tcPr>
            <w:tcW w:type="dxa" w:w="4608"/>
          </w:tcPr>
          <w:p>
            <w:pPr>
              <w:spacing w:after="80" w:before="80"/>
            </w:pPr>
            <w:r>
              <w:rPr>
                <w:b w:val="0"/>
                <w:i w:val="0"/>
                <w:sz w:val="20"/>
              </w:rPr>
              <w:t>Human-authored candidate or repair-message bytes</w:t>
            </w:r>
          </w:p>
        </w:tc>
        <w:tc>
          <w:tcPr>
            <w:tcW w:type="dxa" w:w="5472"/>
          </w:tcPr>
          <w:p>
            <w:pPr>
              <w:spacing w:after="80" w:before="80"/>
            </w:pPr>
            <w:r>
              <w:rPr>
                <w:b w:val="0"/>
                <w:i w:val="0"/>
                <w:sz w:val="20"/>
              </w:rPr>
              <w:t>Zero, provenance verified</w:t>
            </w:r>
          </w:p>
        </w:tc>
      </w:tr>
      <w:tr>
        <w:trPr>
          <w:cantSplit/>
        </w:trPr>
        <w:tc>
          <w:tcPr>
            <w:tcW w:type="dxa" w:w="4608"/>
          </w:tcPr>
          <w:p>
            <w:pPr>
              <w:spacing w:after="80" w:before="80"/>
            </w:pPr>
            <w:r>
              <w:rPr>
                <w:b w:val="0"/>
                <w:i w:val="0"/>
                <w:sz w:val="20"/>
              </w:rPr>
              <w:t>Human controller assistance</w:t>
            </w:r>
          </w:p>
        </w:tc>
        <w:tc>
          <w:tcPr>
            <w:tcW w:type="dxa" w:w="5472"/>
          </w:tcPr>
          <w:p>
            <w:pPr>
              <w:spacing w:after="80" w:before="80"/>
            </w:pPr>
            <w:r>
              <w:rPr>
                <w:b w:val="0"/>
                <w:i w:val="0"/>
                <w:sz w:val="20"/>
              </w:rPr>
              <w:t>Three disclosed MS89 controller revisions; new MS90 judge authored separately</w:t>
            </w:r>
          </w:p>
        </w:tc>
      </w:tr>
      <w:tr>
        <w:trPr>
          <w:cantSplit/>
        </w:trPr>
        <w:tc>
          <w:tcPr>
            <w:tcW w:type="dxa" w:w="4608"/>
          </w:tcPr>
          <w:p>
            <w:pPr>
              <w:spacing w:after="80" w:before="80"/>
            </w:pPr>
            <w:r>
              <w:rPr>
                <w:b w:val="0"/>
                <w:i w:val="0"/>
                <w:sz w:val="20"/>
              </w:rPr>
              <w:t>MS90 recorded assessment time</w:t>
            </w:r>
          </w:p>
        </w:tc>
        <w:tc>
          <w:tcPr>
            <w:tcW w:type="dxa" w:w="5472"/>
          </w:tcPr>
          <w:p>
            <w:pPr>
              <w:spacing w:after="80" w:before="80"/>
            </w:pPr>
            <w:r>
              <w:rPr>
                <w:b w:val="0"/>
                <w:i w:val="0"/>
                <w:sz w:val="20"/>
              </w:rPr>
              <w:t>52.969 seconds; excludes development, tests and document production</w:t>
            </w:r>
          </w:p>
        </w:tc>
      </w:tr>
      <w:tr>
        <w:trPr>
          <w:cantSplit/>
        </w:trPr>
        <w:tc>
          <w:tcPr>
            <w:tcW w:type="dxa" w:w="4608"/>
          </w:tcPr>
          <w:p>
            <w:pPr>
              <w:spacing w:after="80" w:before="80"/>
            </w:pPr>
            <w:r>
              <w:rPr>
                <w:b w:val="0"/>
                <w:i w:val="0"/>
                <w:sz w:val="20"/>
              </w:rPr>
              <w:t>MS90 additional calls / native runs</w:t>
            </w:r>
          </w:p>
        </w:tc>
        <w:tc>
          <w:tcPr>
            <w:tcW w:type="dxa" w:w="5472"/>
          </w:tcPr>
          <w:p>
            <w:pPr>
              <w:spacing w:after="80" w:before="80"/>
            </w:pPr>
            <w:r>
              <w:rPr>
                <w:b w:val="0"/>
                <w:i w:val="0"/>
                <w:sz w:val="20"/>
              </w:rPr>
              <w:t>Zero / zero</w:t>
            </w:r>
          </w:p>
        </w:tc>
      </w:tr>
      <w:tr>
        <w:trPr>
          <w:cantSplit/>
        </w:trPr>
        <w:tc>
          <w:tcPr>
            <w:tcW w:type="dxa" w:w="4608"/>
          </w:tcPr>
          <w:p>
            <w:pPr>
              <w:spacing w:after="80" w:before="80"/>
            </w:pPr>
            <w:r>
              <w:rPr>
                <w:b w:val="0"/>
                <w:i w:val="0"/>
                <w:sz w:val="20"/>
              </w:rPr>
              <w:t>Dollar cost</w:t>
            </w:r>
          </w:p>
        </w:tc>
        <w:tc>
          <w:tcPr>
            <w:tcW w:type="dxa" w:w="5472"/>
          </w:tcPr>
          <w:p>
            <w:pPr>
              <w:spacing w:after="80" w:before="80"/>
            </w:pPr>
            <w:r>
              <w:rPr>
                <w:b w:val="0"/>
                <w:i w:val="0"/>
                <w:sz w:val="20"/>
              </w:rPr>
              <w:t>Per-call billing unavailable; local energy unmetered; no GCP resources started</w:t>
            </w:r>
          </w:p>
        </w:tc>
      </w:tr>
    </w:tbl>
    <w:p>
      <w:pPr>
        <w:spacing w:after="0"/>
      </w:pPr>
    </w:p>
    <w:p>
      <w:pPr/>
      <w:r>
        <w:rPr>
          <w:b w:val="0"/>
          <w:i w:val="0"/>
        </w:rPr>
        <w:t>Zero repair bytes is a defined metric for candidate source and repair messages after the initial prompt. It does not mean that people wrote no specification, controller, judge or acceptance policy. MS90 is explicitly a human-authorized judge revision, not an autonomous semantic repair.</w:t>
      </w:r>
    </w:p>
    <w:p>
      <w:pPr>
        <w:pStyle w:val="Heading2"/>
      </w:pPr>
      <w:r>
        <w:rPr>
          <w:b w:val="0"/>
          <w:i w:val="0"/>
        </w:rPr>
        <w:t>Validation completed</w:t>
      </w:r>
    </w:p>
    <w:p>
      <w:pPr/>
      <w:r>
        <w:rPr>
          <w:b w:val="0"/>
          <w:i w:val="0"/>
        </w:rPr>
        <w:t>The original native gate was reproduced exactly from the retained observations, and every tracked source-evidence file remained unchanged. The signed publication verified successfully and recomputed the same version-2 comparison.</w:t>
      </w:r>
    </w:p>
    <w:p>
      <w:pPr/>
      <w:r>
        <w:rPr>
          <w:b w:val="0"/>
          <w:i w:val="0"/>
        </w:rPr>
        <w:t>Eighteen focused tests cover the retained evidence result, exact decimal equality, changed numeric values, equal nonfinite values, unknown fields, timestamp seconds and offsets, column and datatype scope, UTC capture context, state hash binding, row-to-trace identity, Oracle fractional rejection, review-date expiry, business-check regression, policy expansion, signed publication replay and artifact tampering.</w:t>
      </w:r>
    </w:p>
    <w:p>
      <w:pPr/>
      <w:r>
        <w:rPr>
          <w:b w:val="0"/>
          <w:i w:val="0"/>
        </w:rPr>
        <w:t>These tests check that the rule admits its intended cases and refuses nearby invalid cases. They are verification tests, not additional native customer journeys. Broader application, schema and platform qualification remain false.</w:t>
      </w:r>
    </w:p>
    <w:p>
      <w:pPr>
        <w:pStyle w:val="Heading1"/>
      </w:pPr>
      <w:r>
        <w:rPr>
          <w:b w:val="0"/>
          <w:i w:val="0"/>
        </w:rPr>
        <w:t>Operating the assessment</w:t>
      </w:r>
    </w:p>
    <w:p>
      <w:pPr>
        <w:pStyle w:val="Heading2"/>
      </w:pPr>
      <w:r>
        <w:rPr>
          <w:b w:val="0"/>
          <w:i w:val="0"/>
        </w:rPr>
        <w:t>Verify the published result</w:t>
      </w:r>
    </w:p>
    <w:p>
      <w:pPr/>
      <w:r>
        <w:rPr>
          <w:b w:val="0"/>
          <w:i w:val="0"/>
        </w:rPr>
        <w:t>From the repository root, with the project environment installed, run:</w:t>
      </w:r>
    </w:p>
    <w:p>
      <w:pPr>
        <w:spacing w:after="0" w:line="240" w:lineRule="auto"/>
      </w:pPr>
      <w:r>
        <w:rPr>
          <w:rFonts w:ascii="Courier New" w:hAnsi="Courier New"/>
          <w:sz w:val="16"/>
        </w:rPr>
        <w:t>$env:PYTHONPATH='src'</w:t>
      </w:r>
    </w:p>
    <w:p>
      <w:pPr>
        <w:spacing w:after="0" w:line="240" w:lineRule="auto"/>
      </w:pPr>
      <w:r>
        <w:rPr>
          <w:rFonts w:ascii="Courier New" w:hAnsi="Courier New"/>
          <w:sz w:val="16"/>
        </w:rPr>
        <w:t>python tools/evaluate_journey_judge_v2.py verify `</w:t>
      </w:r>
    </w:p>
    <w:p>
      <w:pPr>
        <w:spacing w:after="0" w:line="240" w:lineRule="auto"/>
      </w:pPr>
      <w:r>
        <w:rPr>
          <w:rFonts w:ascii="Courier New" w:hAnsi="Courier New"/>
          <w:sz w:val="16"/>
        </w:rPr>
        <w:t xml:space="preserve">  --output docs/calibration/idempiere-judge-v2</w:t>
      </w:r>
    </w:p>
    <w:p>
      <w:pPr>
        <w:spacing w:after="0"/>
      </w:pPr>
    </w:p>
    <w:p>
      <w:pPr/>
      <w:r>
        <w:rPr>
          <w:b w:val="0"/>
          <w:i w:val="0"/>
        </w:rPr>
        <w:t xml:space="preserve">The expected status is </w:t>
      </w:r>
      <w:r>
        <w:rPr>
          <w:rFonts w:ascii="Courier New" w:hAnsi="Courier New"/>
          <w:b w:val="0"/>
          <w:i w:val="0"/>
          <w:sz w:val="18"/>
        </w:rPr>
        <w:t>verified-versioned-assessment</w:t>
      </w:r>
      <w:r>
        <w:rPr>
          <w:b w:val="0"/>
          <w:i w:val="0"/>
        </w:rPr>
        <w:t xml:space="preserve">, with </w:t>
      </w:r>
      <w:r>
        <w:rPr>
          <w:rFonts w:ascii="Courier New" w:hAnsi="Courier New"/>
          <w:b w:val="0"/>
          <w:i w:val="0"/>
          <w:sz w:val="18"/>
        </w:rPr>
        <w:t>passed: true</w:t>
      </w:r>
      <w:r>
        <w:rPr>
          <w:b w:val="0"/>
          <w:i w:val="0"/>
        </w:rPr>
        <w:t xml:space="preserve">, </w:t>
      </w:r>
      <w:r>
        <w:rPr>
          <w:rFonts w:ascii="Courier New" w:hAnsi="Courier New"/>
          <w:b w:val="0"/>
          <w:i w:val="0"/>
          <w:sz w:val="18"/>
        </w:rPr>
        <w:t>original_gate_passed: false</w:t>
      </w:r>
      <w:r>
        <w:rPr>
          <w:b w:val="0"/>
          <w:i w:val="0"/>
        </w:rPr>
        <w:t xml:space="preserve"> and </w:t>
      </w:r>
      <w:r>
        <w:rPr>
          <w:rFonts w:ascii="Courier New" w:hAnsi="Courier New"/>
          <w:b w:val="0"/>
          <w:i w:val="0"/>
          <w:sz w:val="18"/>
        </w:rPr>
        <w:t>full_native_gate_replayed: false</w:t>
      </w:r>
      <w:r>
        <w:rPr>
          <w:b w:val="0"/>
          <w:i w:val="0"/>
        </w:rPr>
        <w:t>. Read the last field literally: this command verifies the published summaries and their signed lineage.</w:t>
      </w:r>
    </w:p>
    <w:p>
      <w:pPr>
        <w:pStyle w:val="Heading2"/>
      </w:pPr>
      <w:r>
        <w:rPr>
          <w:b w:val="0"/>
          <w:i w:val="0"/>
        </w:rPr>
        <w:t>Reassess retained native observations</w:t>
      </w:r>
    </w:p>
    <w:p>
      <w:pPr/>
      <w:r>
        <w:rPr>
          <w:b w:val="0"/>
          <w:i w:val="0"/>
        </w:rPr>
        <w:t>For a fresh, separately signed assessment, the operator must have the original local run, trusted signing material, unchanged pinned implementation and an effective timestamp decision. Use a new output path:</w:t>
      </w:r>
    </w:p>
    <w:p>
      <w:pPr>
        <w:spacing w:after="0" w:line="240" w:lineRule="auto"/>
      </w:pPr>
      <w:r>
        <w:rPr>
          <w:rFonts w:ascii="Courier New" w:hAnsi="Courier New"/>
          <w:sz w:val="16"/>
        </w:rPr>
        <w:t>$env:PYTHONPATH='src'</w:t>
      </w:r>
    </w:p>
    <w:p>
      <w:pPr>
        <w:spacing w:after="0" w:line="240" w:lineRule="auto"/>
      </w:pPr>
      <w:r>
        <w:rPr>
          <w:rFonts w:ascii="Courier New" w:hAnsi="Courier New"/>
          <w:sz w:val="16"/>
        </w:rPr>
        <w:t>$run='factory/idempiere/ms86-journeys/runs/'</w:t>
      </w:r>
    </w:p>
    <w:p>
      <w:pPr>
        <w:spacing w:after="0" w:line="240" w:lineRule="auto"/>
      </w:pPr>
      <w:r>
        <w:rPr>
          <w:rFonts w:ascii="Courier New" w:hAnsi="Courier New"/>
          <w:sz w:val="16"/>
        </w:rPr>
        <w:t>$run+='journey-2ba2716e5c1749f89bdecd4cb1d17280'</w:t>
      </w:r>
    </w:p>
    <w:p>
      <w:pPr>
        <w:spacing w:after="0" w:line="240" w:lineRule="auto"/>
      </w:pPr>
      <w:r>
        <w:rPr>
          <w:rFonts w:ascii="Courier New" w:hAnsi="Courier New"/>
          <w:sz w:val="16"/>
        </w:rPr>
        <w:t>python tools/evaluate_journey_judge_v2.py evaluate `</w:t>
      </w:r>
    </w:p>
    <w:p>
      <w:pPr>
        <w:spacing w:after="0" w:line="240" w:lineRule="auto"/>
      </w:pPr>
      <w:r>
        <w:rPr>
          <w:rFonts w:ascii="Courier New" w:hAnsi="Courier New"/>
          <w:sz w:val="16"/>
        </w:rPr>
        <w:t xml:space="preserve">  --run $run `</w:t>
      </w:r>
    </w:p>
    <w:p>
      <w:pPr>
        <w:spacing w:after="0" w:line="240" w:lineRule="auto"/>
      </w:pPr>
      <w:r>
        <w:rPr>
          <w:rFonts w:ascii="Courier New" w:hAnsi="Courier New"/>
          <w:sz w:val="16"/>
        </w:rPr>
        <w:t xml:space="preserve">  --output work/ms90/new-assessment</w:t>
      </w:r>
    </w:p>
    <w:p>
      <w:pPr>
        <w:spacing w:after="0"/>
      </w:pPr>
    </w:p>
    <w:p>
      <w:pPr/>
      <w:r>
        <w:rPr>
          <w:b w:val="0"/>
          <w:i w:val="0"/>
        </w:rPr>
        <w:t>This copies the retained evidence, reruns the original deterministic gate, applies version 2 and signs a new assessment. An existing output directory is refused. Do not use the original verifier directly on the source run for this task: it writes derived summaries. Do not edit an old receipt to make its status pass.</w:t>
      </w:r>
    </w:p>
    <w:p>
      <w:pPr>
        <w:pStyle w:val="Heading2"/>
      </w:pPr>
      <w:r>
        <w:rPr>
          <w:b w:val="0"/>
          <w:i w:val="0"/>
        </w:rPr>
        <w:t>Reporting and next work</w:t>
      </w:r>
    </w:p>
    <w:p>
      <w:pPr/>
      <w:r>
        <w:rPr>
          <w:b w:val="0"/>
          <w:i w:val="0"/>
        </w:rPr>
        <w:t xml:space="preserve">Present this result as </w:t>
      </w:r>
      <w:r>
        <w:rPr>
          <w:b/>
          <w:i w:val="0"/>
        </w:rPr>
        <w:t>bounded partial-invoicing contract equivalence, version 2, over retained native evidence</w:t>
      </w:r>
      <w:r>
        <w:rPr>
          <w:b w:val="0"/>
          <w:i w:val="0"/>
        </w:rPr>
        <w:t>. Preserve the original failed run alongside it. Control Tower's original run status remains the historical result; this milestone adds a separate signed assessment artifact rather than replacing that status.</w:t>
      </w:r>
    </w:p>
    <w:p>
      <w:pPr/>
      <w:r>
        <w:rPr>
          <w:b w:val="0"/>
          <w:i w:val="0"/>
        </w:rPr>
        <w:t>A future factory execution should pin this comparison policy before generation and native execution, then publish both its native outcome and the rule version. Further journeys should cover credit notes, reversals, concurrency and failure recovery. The timestamp owner must review the accepted precision scope by 25 December 2026. None of these future actions is implied by the reassessment.</w:t>
      </w:r>
    </w:p>
    <w:p>
      <w:pPr>
        <w:pStyle w:val="Heading2"/>
      </w:pPr>
      <w:r>
        <w:rPr>
          <w:b w:val="0"/>
          <w:i w:val="0"/>
        </w:rPr>
        <w:t>Repository references</w:t>
      </w:r>
    </w:p>
    <w:p>
      <w:pPr>
        <w:pStyle w:val="ListBullet"/>
      </w:pPr>
      <w:hyperlink r:id="rId12">
        <w:r>
          <w:rPr>
            <w:color w:val="244D79"/>
          </w:rPr>
          <w:t xml:space="preserve">Signed version-2 assessment</w:t>
        </w:r>
      </w:hyperlink>
    </w:p>
    <w:p>
      <w:pPr>
        <w:pStyle w:val="ListBullet"/>
      </w:pPr>
      <w:hyperlink r:id="rId13">
        <w:r>
          <w:rPr>
            <w:color w:val="244D79"/>
          </w:rPr>
          <w:t xml:space="preserve">Version-2 comparison with raw differences</w:t>
        </w:r>
      </w:hyperlink>
    </w:p>
    <w:p>
      <w:pPr>
        <w:pStyle w:val="ListBullet"/>
      </w:pPr>
      <w:hyperlink r:id="rId14">
        <w:r>
          <w:rPr>
            <w:color w:val="244D79"/>
          </w:rPr>
          <w:t xml:space="preserve">Preserved original gate</w:t>
        </w:r>
      </w:hyperlink>
    </w:p>
    <w:p>
      <w:pPr>
        <w:pStyle w:val="ListBullet"/>
      </w:pPr>
      <w:hyperlink r:id="rId15">
        <w:r>
          <w:rPr>
            <w:color w:val="244D79"/>
          </w:rPr>
          <w:t xml:space="preserve">Signed timestamp decision</w:t>
        </w:r>
      </w:hyperlink>
    </w:p>
    <w:p>
      <w:pPr>
        <w:pStyle w:val="ListBullet"/>
      </w:pPr>
      <w:hyperlink r:id="rId16">
        <w:r>
          <w:rPr>
            <w:color w:val="244D79"/>
          </w:rPr>
          <w:t xml:space="preserve">MS89 campaign receipt and costs</w:t>
        </w:r>
      </w:hyperlink>
    </w:p>
    <w:p>
      <w:pPr>
        <w:pStyle w:val="ListBullet"/>
      </w:pPr>
      <w:hyperlink r:id="rId17">
        <w:r>
          <w:rPr>
            <w:color w:val="244D79"/>
          </w:rPr>
          <w:t xml:space="preserve">MS89 milestone</w:t>
        </w:r>
      </w:hyperlink>
    </w:p>
    <w:p>
      <w:pPr>
        <w:pStyle w:val="Heading1"/>
      </w:pPr>
      <w:r>
        <w:rPr>
          <w:b w:val="0"/>
          <w:i w:val="0"/>
        </w:rPr>
        <w:t>Builder input provenance</w:t>
      </w:r>
    </w:p>
    <w:p>
      <w:pPr/>
      <w:r>
        <w:rPr>
          <w:b w:val="0"/>
          <w:i w:val="0"/>
        </w:rPr>
        <w:t>There was no new builder input, generation or native run. This milestone reused MS89's final candidate and captured observations. The numeric and timestamp comparison policy came from MS89's exposed representation differences and the separately approved precision decision. A retrospective passing assessment is not a first-try generation result.</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MS-90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milestones/MS-90/MS-90.docx" TargetMode="External"/><Relationship Id="rId12" Type="http://schemas.openxmlformats.org/officeDocument/2006/relationships/hyperlink" Target="https://github.com/howardweale/lightyear-carddemo-modernization/blob/main/docs/calibration/idempiere-judge-v2/receipt.json" TargetMode="External"/><Relationship Id="rId13" Type="http://schemas.openxmlformats.org/officeDocument/2006/relationships/hyperlink" Target="https://github.com/howardweale/lightyear-carddemo-modernization/blob/main/docs/calibration/idempiere-judge-v2/comparison-v2.json" TargetMode="External"/><Relationship Id="rId14" Type="http://schemas.openxmlformats.org/officeDocument/2006/relationships/hyperlink" Target="https://github.com/howardweale/lightyear-carddemo-modernization/blob/main/docs/calibration/idempiere-judge-v2/original-gate.json" TargetMode="External"/><Relationship Id="rId15" Type="http://schemas.openxmlformats.org/officeDocument/2006/relationships/hyperlink" Target="https://github.com/howardweale/lightyear-carddemo-modernization/blob/main/factory/idempiere/contracts/oracle-date-second-precision.json" TargetMode="External"/><Relationship Id="rId16" Type="http://schemas.openxmlformats.org/officeDocument/2006/relationships/hyperlink" Target="https://github.com/howardweale/lightyear-carddemo-modernization/blob/main/docs/calibration/idempiere-analyst-repair/campaign-01-paired-review/receipt.json" TargetMode="External"/><Relationship Id="rId17" Type="http://schemas.openxmlformats.org/officeDocument/2006/relationships/hyperlink" Target="https://github.com/howardweale/lightyear-carddemo-modernization/blob/main/docs/milestones/MS-89/MS-89.m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MS90 Versioned judgement without rewriting history</dc:title>
  <dc:subject>Canonical milestone record and bounded evidence</dc:subject>
  <dc:creator>LIGHTYEAR</dc:creator>
  <cp:keywords/>
  <dc:description>Source SHA256: 9fede94e6bb770094d1b2bee5e8a7784a9a1d2e329d67316e5f7e3e1e193b735</dc:description>
  <cp:lastModifiedBy/>
  <cp:revision>1</cp:revision>
  <dcterms:created xsi:type="dcterms:W3CDTF">2013-12-23T23:15:00Z</dcterms:created>
  <dcterms:modified xsi:type="dcterms:W3CDTF">2013-12-23T23:15:00Z</dcterms:modified>
  <cp:category/>
</cp:coreProperties>
</file>