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#50 - Oracle Semantic Coverage Program</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0.50.0, 0.50.1, 0.50.2, 0.50.3, 0.50.4</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#50 - Oracle Semantic Coverage Program converts a specific part of the LIGHTYEAR modernization approach into a governed, reviewable capability. Gives database architects a quantified, evidence-levelled Oracle coverage answer and completes bounded catalog execution across core SQL, datatypes, PL/SQL, transactions, operations, schema/DML, schema objects, and structured data.</w:t>
      </w:r>
    </w:p>
    <w:p>
      <w:pPr>
        <w:pStyle w:val="Heading1"/>
      </w:pPr>
      <w:r>
        <w:t>Why this matters to a customer</w:t>
      </w:r>
    </w:p>
    <w:p>
      <w:r>
        <w:t>Gives database architects a quantified, evidence-levelled Oracle coverage answer and completes bounded catalog execution across core SQL, datatypes, PL/SQL, transactions, operations, schema/DML, schema objects, and structured data.</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catalog of 500 stable Oracle behavior contracts and 2,000 case specifications across ten exact domains.</w:t>
      </w:r>
    </w:p>
    <w:p>
      <w:pPr>
        <w:pStyle w:val="ListBullet"/>
      </w:pPr>
      <w:r>
        <w:t>Bounded execution of 920 governed core SQL/type cases, 320 PL/SQL cases, 280 transaction and operations cases, and 480 schema/DML, schema-object, and structured-data cases.</w:t>
      </w:r>
    </w:p>
    <w:p>
      <w:pPr>
        <w:pStyle w:val="ListBullet"/>
      </w:pPr>
      <w:r>
        <w:t>Schema and structured-data coverage spanning DML state changes, defaults, identity, constraints, indexes, schema evolution, views, sequences, synonyms, partitioning, materialized views, index-organized tables, editions, BLOB, CLOB, SecureFiles, JSON, XMLType, and object types.</w:t>
      </w:r>
    </w:p>
    <w:p>
      <w:pPr>
        <w:pStyle w:val="ListBullet"/>
      </w:pPr>
      <w:r>
        <w:t>Separately declared expectations and independently computed observations across 100 topic families, five behavior focuses, and four case dimensions.</w:t>
      </w:r>
    </w:p>
    <w:p>
      <w:pPr>
        <w:pStyle w:val="ListBullet"/>
      </w:pPr>
      <w:r>
        <w:t>A deduplicated evidence ladder reporting 500 catalogued, 500 catalog-executed, 500 unique bounded-model verified, 0 native-verified, and 0 target-equivalent behaviors, with 2,024 evidence records after retaining the 24 bootstrap runs separately.</w:t>
      </w:r>
    </w:p>
    <w:p>
      <w:pPr>
        <w:pStyle w:val="ListBullet"/>
      </w:pPr>
      <w:r>
        <w:t>Native execution plans plus deterministic artifacts, ten JSON Schemas, cross-platform verification, and adversarial dependency-drift, mutation, overlap, and overclaim tests.</w:t>
      </w:r>
    </w:p>
    <w:p>
      <w:pPr>
        <w:pStyle w:val="Heading1"/>
      </w:pPr>
      <w:r>
        <w:t>How it differs from earlier work</w:t>
      </w:r>
    </w:p>
    <w:p>
      <w:r>
        <w:t>MS #49 proved the mechanism with eight fixtures and 24 cases. MS #50.0 made them bootstrap evidence inside a governed broad-coverage program; MS #50.1 executes 920 core SQL/type cases, MS #50.2 executes 320 PL/SQL cases, MS #50.3 executes 280 transaction and operations cases, and MS #50.4 executes the final 480 schema/DML, schema-object, and structured-data cases without promoting bounded-model evidence into native Oracle proof.</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oracle semantic coverage program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2,000 passed catalog cases are deterministic bounded-model evidence; they do not constitute native Oracle execution or conformance.</w:t>
      </w:r>
    </w:p>
    <w:p>
      <w:pPr>
        <w:pStyle w:val="ListBullet"/>
      </w:pPr>
      <w:r>
        <w:t>No governed catalog cases remain unexecuted, but native Oracle verified and target-equivalent behavior counts remain zero.</w:t>
      </w:r>
    </w:p>
    <w:p>
      <w:pPr>
        <w:pStyle w:val="ListBullet"/>
      </w:pPr>
      <w:r>
        <w:t>The 24 MS #49 bootstrap runs remain separate evidence records and all eight behavior bindings overlap executed catalog tranches.</w:t>
      </w:r>
    </w:p>
    <w:p>
      <w:pPr>
        <w:pStyle w:val="ListBullet"/>
      </w:pPr>
      <w:r>
        <w:t>Physical storage and index behavior, partitioning, materialized-view refresh, edition visibility, SecureFiles and LOB locator semantics, native JSON/XML/object behavior, and the 19c-to-26ai JSON datatype delta remain bounded until authorized native evidence exists.</w:t>
      </w:r>
    </w:p>
    <w:p>
      <w:pPr>
        <w:pStyle w:val="ListBullet"/>
      </w:pPr>
      <w:r>
        <w:t>No native Oracle 19c or 26ai execution receipt exists.</w:t>
      </w:r>
    </w:p>
    <w:p>
      <w:pPr>
        <w:pStyle w:val="ListBullet"/>
      </w:pPr>
      <w:r>
        <w:t>Catalogued is not supported; bounded-model verified is not native conformant; native verified is not target equivalent.</w:t>
      </w:r>
    </w:p>
    <w:p>
      <w:pPr>
        <w:pStyle w:val="ListBullet"/>
      </w:pPr>
      <w:r>
        <w:t>iDempiere projection, CloudBank mapping, application equivalence, migration completion, and production readiness remain false.</w:t>
      </w:r>
    </w:p>
    <w:p>
      <w:pPr>
        <w:pStyle w:val="Heading1"/>
      </w:pPr>
      <w:r>
        <w:t>Source of record</w:t>
      </w:r>
    </w:p>
    <w:p>
      <w:pPr>
        <w:pStyle w:val="ListBullet"/>
      </w:pPr>
      <w:r>
        <w:t>CHANGELOG.md release section(s): 0.50.0, 0.50.1, 0.50.2, 0.50.3, 0.50.4</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#50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#50 - Oracle Semantic Coverage Program</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