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Arial" w:hAnsi="Arial"/>
          <w:b/>
          <w:color w:val="A7702C"/>
          <w:sz w:val="18"/>
        </w:rPr>
        <w:t>CUSTOMER MILESTONE BRIEF</w:t>
      </w:r>
    </w:p>
    <w:p>
      <w:pPr>
        <w:spacing w:after="160"/>
      </w:pPr>
      <w:r>
        <w:rPr>
          <w:rFonts w:ascii="Arial" w:hAnsi="Arial"/>
          <w:b/>
          <w:color w:val="15184D"/>
          <w:sz w:val="56"/>
        </w:rPr>
        <w:t>MS #06 - Relationship and Source Evidence Intelligence</w:t>
      </w:r>
    </w:p>
    <w:p>
      <w:pPr>
        <w:spacing w:after="360"/>
      </w:pPr>
      <w:r>
        <w:rPr>
          <w:rFonts w:ascii="Arial" w:hAnsi="Arial"/>
          <w:color w:val="676985"/>
          <w:sz w:val="27"/>
        </w:rPr>
        <w:t>Purpose, customer value, delivered capability, evidence, and claim boundaries</w:t>
      </w:r>
    </w:p>
    <w:tbl>
      <w:tblPr>
        <w:tblStyle w:val="TableGrid"/>
        <w:tblLook w:firstColumn="1" w:firstRow="1" w:lastColumn="0" w:lastRow="0" w:noHBand="0" w:noVBand="1" w:val="04A0"/>
        <w:tblW w:w="9360" w:type="dxa"/>
        <w:tblInd w:w="120" w:type="dxa"/>
        <w:tblLayout w:type="fixed"/>
      </w:tblPr>
      <w:tblGrid>
        <w:gridCol w:w="2700"/>
        <w:gridCol w:w="6660"/>
      </w:tblGrid>
      <w:tr>
        <w:tc>
          <w:tcPr>
            <w:tcW w:type="dxa" w:w="2700"/>
            <w:tcMar>
              <w:top w:w="80" w:type="dxa"/>
              <w:bottom w:w="80" w:type="dxa"/>
              <w:start w:w="120" w:type="dxa"/>
              <w:end w:w="120" w:type="dxa"/>
            </w:tcMar>
            <w:vAlign w:val="center"/>
            <w:shd w:fill="EFEBFB"/>
          </w:tcPr>
          <w:p>
            <w:r>
              <w:rPr>
                <w:rFonts w:ascii="Arial" w:hAnsi="Arial"/>
                <w:b/>
                <w:color w:val="15184D"/>
              </w:rPr>
              <w:t>Status</w:t>
            </w:r>
          </w:p>
        </w:tc>
        <w:tc>
          <w:tcPr>
            <w:tcW w:type="dxa" w:w="6660"/>
            <w:tcMar>
              <w:top w:w="80" w:type="dxa"/>
              <w:bottom w:w="80" w:type="dxa"/>
              <w:start w:w="120" w:type="dxa"/>
              <w:end w:w="120" w:type="dxa"/>
            </w:tcMar>
            <w:vAlign w:val="center"/>
          </w:tcPr>
          <w:p>
            <w:r>
              <w:rPr>
                <w:rFonts w:ascii="Arial" w:hAnsi="Arial"/>
              </w:rPr>
              <w:t>Complete</w:t>
            </w:r>
          </w:p>
        </w:tc>
      </w:tr>
      <w:tr>
        <w:tc>
          <w:tcPr>
            <w:tcW w:type="dxa" w:w="2700"/>
            <w:tcMar>
              <w:top w:w="80" w:type="dxa"/>
              <w:bottom w:w="80" w:type="dxa"/>
              <w:start w:w="120" w:type="dxa"/>
              <w:end w:w="120" w:type="dxa"/>
            </w:tcMar>
            <w:vAlign w:val="center"/>
            <w:shd w:fill="EFEBFB"/>
          </w:tcPr>
          <w:p>
            <w:r>
              <w:rPr>
                <w:rFonts w:ascii="Arial" w:hAnsi="Arial"/>
                <w:b/>
                <w:color w:val="15184D"/>
              </w:rPr>
              <w:t>Release</w:t>
            </w:r>
          </w:p>
        </w:tc>
        <w:tc>
          <w:tcPr>
            <w:tcW w:type="dxa" w:w="6660"/>
            <w:tcMar>
              <w:top w:w="80" w:type="dxa"/>
              <w:bottom w:w="80" w:type="dxa"/>
              <w:start w:w="120" w:type="dxa"/>
              <w:end w:w="120" w:type="dxa"/>
            </w:tcMar>
            <w:vAlign w:val="center"/>
          </w:tcPr>
          <w:p>
            <w:r>
              <w:rPr>
                <w:rFonts w:ascii="Arial" w:hAnsi="Arial"/>
              </w:rPr>
              <w:t>0.6.0</w:t>
            </w:r>
          </w:p>
        </w:tc>
      </w:tr>
      <w:tr>
        <w:tc>
          <w:tcPr>
            <w:tcW w:type="dxa" w:w="2700"/>
            <w:tcMar>
              <w:top w:w="80" w:type="dxa"/>
              <w:bottom w:w="80" w:type="dxa"/>
              <w:start w:w="120" w:type="dxa"/>
              <w:end w:w="120" w:type="dxa"/>
            </w:tcMar>
            <w:vAlign w:val="center"/>
            <w:shd w:fill="EFEBFB"/>
          </w:tcPr>
          <w:p>
            <w:r>
              <w:rPr>
                <w:rFonts w:ascii="Arial" w:hAnsi="Arial"/>
                <w:b/>
                <w:color w:val="15184D"/>
              </w:rPr>
              <w:t>Date</w:t>
            </w:r>
          </w:p>
        </w:tc>
        <w:tc>
          <w:tcPr>
            <w:tcW w:type="dxa" w:w="6660"/>
            <w:tcMar>
              <w:top w:w="80" w:type="dxa"/>
              <w:bottom w:w="80" w:type="dxa"/>
              <w:start w:w="120" w:type="dxa"/>
              <w:end w:w="120" w:type="dxa"/>
            </w:tcMar>
            <w:vAlign w:val="center"/>
          </w:tcPr>
          <w:p>
            <w:r>
              <w:rPr>
                <w:rFonts w:ascii="Arial" w:hAnsi="Arial"/>
              </w:rPr>
              <w:t>2026-08-11</w:t>
            </w:r>
          </w:p>
        </w:tc>
      </w:tr>
      <w:tr>
        <w:tc>
          <w:tcPr>
            <w:tcW w:type="dxa" w:w="2700"/>
            <w:tcMar>
              <w:top w:w="80" w:type="dxa"/>
              <w:bottom w:w="80" w:type="dxa"/>
              <w:start w:w="120" w:type="dxa"/>
              <w:end w:w="120" w:type="dxa"/>
            </w:tcMar>
            <w:vAlign w:val="center"/>
            <w:shd w:fill="EFEBFB"/>
          </w:tcPr>
          <w:p>
            <w:r>
              <w:rPr>
                <w:rFonts w:ascii="Arial" w:hAnsi="Arial"/>
                <w:b/>
                <w:color w:val="15184D"/>
              </w:rPr>
              <w:t>Audience</w:t>
            </w:r>
          </w:p>
        </w:tc>
        <w:tc>
          <w:tcPr>
            <w:tcW w:type="dxa" w:w="6660"/>
            <w:tcMar>
              <w:top w:w="80" w:type="dxa"/>
              <w:bottom w:w="80" w:type="dxa"/>
              <w:start w:w="120" w:type="dxa"/>
              <w:end w:w="120" w:type="dxa"/>
            </w:tcMar>
            <w:vAlign w:val="center"/>
          </w:tcPr>
          <w:p>
            <w:r>
              <w:rPr>
                <w:rFonts w:ascii="Arial" w:hAnsi="Arial"/>
              </w:rPr>
              <w:t>Customers, partners, executives, architects, delivery teams, and assurance reviewers</w:t>
            </w:r>
          </w:p>
        </w:tc>
      </w:tr>
    </w:tbl>
    <w:p>
      <w:pPr>
        <w:pStyle w:val="Heading1"/>
      </w:pPr>
      <w:r>
        <w:t>Executive summary</w:t>
      </w:r>
    </w:p>
    <w:p>
      <w:r>
        <w:t>MS #6 - Relationship and Source Evidence Intelligence converts a specific part of the LIGHTYEAR modernization approach into a governed, reviewable capability. Explains why every important dependency exists and links it back to bounded source context.</w:t>
      </w:r>
    </w:p>
    <w:p>
      <w:pPr>
        <w:pStyle w:val="Heading1"/>
      </w:pPr>
      <w:r>
        <w:t>Why this matters to a customer</w:t>
      </w:r>
    </w:p>
    <w:p>
      <w:r>
        <w:t>Explains why every important dependency exists and links it back to bounded source context.</w:t>
      </w:r>
    </w:p>
    <w:p>
      <w:r>
        <w:t>The practical result is a narrower, evidence-backed decision instead of a broad modernization claim. Commercial, architecture, delivery, security, and assurance teams can review the same capability, proof, and limits.</w:t>
      </w:r>
    </w:p>
    <w:p>
      <w:pPr>
        <w:pStyle w:val="Heading1"/>
      </w:pPr>
      <w:r>
        <w:t>What the milestone delivers</w:t>
      </w:r>
    </w:p>
    <w:p>
      <w:pPr>
        <w:pStyle w:val="ListBullet"/>
      </w:pPr>
      <w:r>
        <w:t>Added a versioned relationship ontology covering all 21 graph relationship types, their purpose, direction, category, evidence policy, and allowed node-kind pairs.</w:t>
      </w:r>
    </w:p>
    <w:p>
      <w:pPr>
        <w:pStyle w:val="ListBullet"/>
      </w:pPr>
      <w:r>
        <w:t>Bound the ontology identity into the canonical graph and added validation for undefined, reversed, incompatible, or drifted relationship claims.</w:t>
      </w:r>
    </w:p>
    <w:p>
      <w:pPr>
        <w:pStyle w:val="ListBullet"/>
      </w:pPr>
      <w:r>
        <w:t>Added 11,646 content-addressed source evidence capsules covering all 12,129 graph evidence supports, including source context, highlighted lines, file hashes, excerpt hashes, and receipts.</w:t>
      </w:r>
    </w:p>
    <w:p>
      <w:pPr>
        <w:pStyle w:val="ListBullet"/>
      </w:pPr>
      <w:r>
        <w:t>Added audience-safe edge and evidence APIs that resolve source only through visible owner IDs and evidence indexes; browser-supplied source paths are ignored.</w:t>
      </w:r>
    </w:p>
    <w:p>
      <w:pPr>
        <w:pStyle w:val="ListBullet"/>
      </w:pPr>
      <w:r>
        <w:t>Made SVG edges and inspector relationship rows clickable and added a plain-language Edge Inspector with semantics, direction, endpoint navigation, properties, and supporting sources.</w:t>
      </w:r>
    </w:p>
    <w:p>
      <w:pPr>
        <w:pStyle w:val="ListBullet"/>
      </w:pPr>
      <w:r>
        <w:t>Added a source-code drawer with contextual line display and exact evidence highlighting.</w:t>
      </w:r>
    </w:p>
    <w:p>
      <w:pPr>
        <w:pStyle w:val="ListBullet"/>
      </w:pPr>
      <w:r>
        <w:t>Extended grounded chat to focus on a selected relationship and explain why the edge exists.</w:t>
      </w:r>
    </w:p>
    <w:p>
      <w:pPr>
        <w:pStyle w:val="ListBullet"/>
      </w:pPr>
      <w:r>
        <w:t>Added ontology, pair validation, evidence integrity, tamper detection, path traversal, privacy, HTTP, UI-contract, and edge-focused chat tests.</w:t>
      </w:r>
    </w:p>
    <w:p>
      <w:pPr>
        <w:pStyle w:val="Heading1"/>
      </w:pPr>
      <w:r>
        <w:t>How it differs from earlier work</w:t>
      </w:r>
    </w:p>
    <w:p>
      <w:r>
        <w:t>MS #6 builds on MS #5 (Evidence-Grounded Graph Chat). The earlier milestone established its own bounded capability; this milestone adds relationship and source evidence intelligence while preserving the earlier evidence and its limits.</w:t>
      </w:r>
    </w:p>
    <w:p>
      <w:r>
        <w:t>Earlier evidence is not automatically promoted into this milestone. A parser, simulator, local comparison, or generated artifact is not live platform equivalence or production readiness.</w:t>
      </w:r>
    </w:p>
    <w:p>
      <w:pPr>
        <w:pStyle w:val="Heading1"/>
      </w:pPr>
      <w:r>
        <w:t>What a customer can do with it</w:t>
      </w:r>
    </w:p>
    <w:p>
      <w:r>
        <w:t>A customer can use relationship and source evidence intelligence as a bounded decision and delivery capability, attached to approved sources, owners, policies, target architecture, acceptance criteria, and authorized evidence.</w:t>
      </w:r>
    </w:p>
    <w:p>
      <w:r>
        <w:t>Unresolved semantic loss, policy decisions, unsupported behavior, and live-evidence requirements remain visible.</w:t>
      </w:r>
    </w:p>
    <w:p>
      <w:pPr>
        <w:pStyle w:val="Heading1"/>
      </w:pPr>
      <w:r>
        <w:t>Evidence and acceptance posture</w:t>
      </w:r>
    </w:p>
    <w:p>
      <w:r>
        <w:t>The repository capability is complete because its committed implementation and release record are present. Customer qualification remains claim-specific and evidence-class-specific.</w:t>
      </w:r>
    </w:p>
    <w:p>
      <w:r>
        <w:t>Review exact source and artifact identities, distinguish development from authorized live evidence, inspect policy and loss classifications, confirm passed and blocked gates, and verify that later changes have not invalidated the evidence.</w:t>
      </w:r>
    </w:p>
    <w:p>
      <w:pPr>
        <w:pStyle w:val="Heading1"/>
      </w:pPr>
      <w:r>
        <w:t>Boundaries and claims not made</w:t>
      </w:r>
    </w:p>
    <w:p>
      <w:pPr>
        <w:pStyle w:val="ListBullet"/>
      </w:pPr>
      <w:r>
        <w:t>This milestone establishes only the bounded capabilities and evidence listed here; later capabilities are not retroactive.</w:t>
      </w:r>
    </w:p>
    <w:p>
      <w:pPr>
        <w:pStyle w:val="ListBullet"/>
      </w:pPr>
      <w:r>
        <w:t>Production readiness and platform equivalence require the explicit evidence and policy gates applicable to the customer environment.</w:t>
      </w:r>
    </w:p>
    <w:p>
      <w:pPr>
        <w:pStyle w:val="Heading1"/>
      </w:pPr>
      <w:r>
        <w:t>Source of record</w:t>
      </w:r>
    </w:p>
    <w:p>
      <w:pPr>
        <w:pStyle w:val="ListBullet"/>
      </w:pPr>
      <w:r>
        <w:t>CHANGELOG.md release section(s): 0.6.0</w:t>
      </w:r>
    </w:p>
    <w:p>
      <w:pPr>
        <w:pStyle w:val="ListBullet"/>
      </w:pPr>
      <w:r>
        <w:t>README.md product and operating guidance</w:t>
      </w:r>
    </w:p>
    <w:p>
      <w:pPr>
        <w:pStyle w:val="ListBullet"/>
      </w:pPr>
      <w:r>
        <w:t>LIGHTYEAR-ROADMAP.md governing sequence and claim classifications</w:t>
      </w:r>
    </w:p>
    <w:p>
      <w:pPr>
        <w:pStyle w:val="ListBullet"/>
      </w:pPr>
      <w:r>
        <w:t>docs/milestones/catalog.json metadata and docs/milestones/manifest.json artifact integrity</w:t>
      </w:r>
    </w:p>
    <w:sectPr w:rsidR="00FC693F" w:rsidRPr="0006063C" w:rsidSect="00034616">
      <w:headerReference w:type="default" r:id="rId9"/>
      <w:footerReference w:type="default" r:id="rId10"/>
      <w:pgSz w:w="12240" w:h="15840"/>
      <w:pgMar w:top="1267" w:right="1440" w:bottom="1440" w:left="1440" w:header="403"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jc w:val="left"/>
    </w:pPr>
    <w:r>
      <w:rPr>
        <w:rFonts w:ascii="Arial" w:hAnsi="Arial"/>
        <w:color w:val="676985"/>
        <w:sz w:val="15"/>
      </w:rPr>
      <w:t>Underlying evidence remains authoritative.</w:t>
    </w:r>
    <w:r>
      <w:rPr>
        <w:rFonts w:ascii="Arial" w:hAnsi="Arial"/>
        <w:color w:val="676985"/>
        <w:sz w:val="17"/>
      </w:rPr>
      <w:tab/>
      <w:t xml:space="preserve">MS #06  |  Page </w:t>
    </w:r>
    <w:r>
      <w:fldChar w:fldCharType="begin"/>
      <w:instrText>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pBdr>
        <w:bottom w:val="single" w:sz="7" w:space="3" w:color="A7702C"/>
      </w:pBdr>
    </w:pPr>
    <w:r>
      <w:drawing>
        <wp:inline xmlns:a="http://schemas.openxmlformats.org/drawingml/2006/main" xmlns:pic="http://schemas.openxmlformats.org/drawingml/2006/picture">
          <wp:extent cx="960120" cy="586313"/>
          <wp:docPr id="1" name="Picture 1"/>
          <wp:cNvGraphicFramePr>
            <a:graphicFrameLocks noChangeAspect="1"/>
          </wp:cNvGraphicFramePr>
          <a:graphic>
            <a:graphicData uri="http://schemas.openxmlformats.org/drawingml/2006/picture">
              <pic:pic>
                <pic:nvPicPr>
                  <pic:cNvPr id="0" name="lightyear-primary.png"/>
                  <pic:cNvPicPr/>
                </pic:nvPicPr>
                <pic:blipFill>
                  <a:blip r:embed="rId1"/>
                  <a:stretch>
                    <a:fillRect/>
                  </a:stretch>
                </pic:blipFill>
                <pic:spPr>
                  <a:xfrm>
                    <a:off x="0" y="0"/>
                    <a:ext cx="960120" cy="586313"/>
                  </a:xfrm>
                  <a:prstGeom prst="rect"/>
                </pic:spPr>
              </pic:pic>
            </a:graphicData>
          </a:graphic>
        </wp:inline>
      </w:drawing>
    </w:r>
    <w:r>
      <w:rPr>
        <w:rFonts w:ascii="Arial" w:hAnsi="Arial"/>
        <w:b/>
        <w:color w:val="676985"/>
        <w:sz w:val="16"/>
      </w:rPr>
      <w:t xml:space="preserve">   MILESTONE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5184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7D57EA"/>
      <w:sz w:val="31"/>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7D57EA"/>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5184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64" w:lineRule="auto"/>
      <w:ind w:left="720" w:hanging="3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64" w:lineRule="auto"/>
      <w:ind w:left="720" w:hanging="360"/>
      <w:contextualSpacing/>
    </w:pPr>
    <w:rPr>
      <w:rFonts w:ascii="Arial" w:hAnsi="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MS #06 - Relationship and Source Evidence Intelligence</dc:title>
  <dc:subject>LIGHTYEAR customer milestone documentation</dc:subject>
  <dc:creator>LIGHTYEAR</dc:creator>
  <cp:keywords/>
  <dc:description>generated by python-docx</dc:description>
  <cp:lastModifiedBy/>
  <cp:revision>1</cp:revision>
  <dcterms:created xsi:type="dcterms:W3CDTF">2026-08-31T12:00:00Z</dcterms:created>
  <dcterms:modified xsi:type="dcterms:W3CDTF">2026-08-31T12:00:00Z</dcterms:modified>
  <cp:category/>
</cp:coreProperties>
</file>