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#15 - Conflict-Aware Portfolio Factory</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0.15.0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2026-08-15</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#15 - Conflict-Aware Portfolio Factory converts a specific part of the LIGHTYEAR modernization approach into a governed, reviewable capability. Coordinates multiple modernization work orders and detects shared-file, dependency, dataset, and scheduling conflicts before execution.</w:t>
      </w:r>
    </w:p>
    <w:p>
      <w:pPr>
        <w:pStyle w:val="Heading1"/>
      </w:pPr>
      <w:r>
        <w:t>Why this matters to a customer</w:t>
      </w:r>
    </w:p>
    <w:p>
      <w:r>
        <w:t>Coordinates multiple modernization work orders and detects shared-file, dependency, dataset, and scheduling conflicts before execution.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deterministic portfolio controller that loads multiple bounded work orders, binds them to the exact knowledge-graph identity, and emits a content-addressed execution plan.</w:t>
      </w:r>
    </w:p>
    <w:p>
      <w:pPr>
        <w:pStyle w:val="ListBullet"/>
      </w:pPr>
      <w:r>
        <w:t>Added file-scope, graph-scope, graph-dependency and declared-dependency conflict detection with stable serialization decisions and bounded parallel wave scheduling.</w:t>
      </w:r>
    </w:p>
    <w:p>
      <w:pPr>
        <w:pStyle w:val="ListBullet"/>
      </w:pPr>
      <w:r>
        <w:t>Added explicit low, medium, high and critical risk classification; high-risk work and critical conflicts fail closed until approved by an external human authority.</w:t>
      </w:r>
    </w:p>
    <w:p>
      <w:pPr>
        <w:pStyle w:val="ListBullet"/>
      </w:pPr>
      <w:r>
        <w:t>Added HMAC-signed, expiring, tamper-evident human approvals bound to the exact plan, required work orders and acknowledged conflicts; agent identities cannot approve portfolios.</w:t>
      </w:r>
    </w:p>
    <w:p>
      <w:pPr>
        <w:pStyle w:val="ListBullet"/>
      </w:pPr>
      <w:r>
        <w:t>Added wave barriers, parallel cell dispatch, stop-on-failure behavior and composite portfolio run receipts while preserving independent private acceptance gates for every cell.</w:t>
      </w:r>
    </w:p>
    <w:p>
      <w:pPr>
        <w:pStyle w:val="ListBullet"/>
      </w:pPr>
      <w:r>
        <w:t>Expanded the demo to bounded INTCALC, POSTTRAN and CREASTMT policy surfaces grounded in the existing CardDemo graph without claiming live z/OS equivalence.</w:t>
      </w:r>
    </w:p>
    <w:p>
      <w:pPr>
        <w:pStyle w:val="ListBullet"/>
      </w:pPr>
      <w:r>
        <w:t>Added versioned portfolio manifest, plan, approval and run-receipt schemas, cross-platform CLI launchers, a read-only Portfolio Control Tower, and adversarial approval/scheduling tests.</w:t>
      </w:r>
    </w:p>
    <w:p>
      <w:pPr>
        <w:pStyle w:val="Heading1"/>
      </w:pPr>
      <w:r>
        <w:t>How it differs from earlier work</w:t>
      </w:r>
    </w:p>
    <w:p>
      <w:r>
        <w:t>MS #15 builds on MS #14 (Verified Semantic Memory). The earlier milestone established its own bounded capability; this milestone adds conflict-aware portfolio factory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conflict-aware portfolio factory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0.15.0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#15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#15 - Conflict-Aware Portfolio Factory</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