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#39 - CICS and VSAM Qualification Hardening</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0.39.0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2026-08-30</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#39 - CICS and VSAM Qualification Hardening converts a specific part of the LIGHTYEAR modernization approach into a governed, reviewable capability. Combines inventory, semantic conformance, and a bounded differential proof for transactional file behavior.</w:t>
      </w:r>
    </w:p>
    <w:p>
      <w:pPr>
        <w:pStyle w:val="Heading1"/>
      </w:pPr>
      <w:r>
        <w:t>Why this matters to a customer</w:t>
      </w:r>
    </w:p>
    <w:p>
      <w:r>
        <w:t>Combines inventory, semantic conformance, and a bounded differential proof for transactional file behavior.</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Bound CICS/VSAM qualification to the canonical graph inventory of 240 CICS commands, 25 transactions, 16 file resources, 15 VSAM clusters, three alternate indexes, three PATHs, and their exact graph identity.</w:t>
      </w:r>
    </w:p>
    <w:p>
      <w:pPr>
        <w:pStyle w:val="ListBullet"/>
      </w:pPr>
      <w:r>
        <w:t>Added a deterministic 38-case synthetic semantic corpus with 30 targeted boundary cases, 34 passing cases, four explicit fail-closed cases, and 59 observed feature categories.</w:t>
      </w:r>
    </w:p>
    <w:p>
      <w:pPr>
        <w:pStyle w:val="ListBullet"/>
      </w:pPr>
      <w:r>
        <w:t>Covered KSDS, ESDS, RRDS, alternate-index and PATH lookup, READ/WRITE/REWRITE/DELETE, update tokens, STARTBR/READNEXT/READPREV/ENDBR, file status, RESP/RESP2, ENQ/DEQ, syncpoint commit and rollback, BMS maps, and LINK/XCTL/RETURN.</w:t>
      </w:r>
    </w:p>
    <w:p>
      <w:pPr>
        <w:pStyle w:val="ListBullet"/>
      </w:pPr>
      <w:r>
        <w:t>Added a 27-entry CICS/VSAM compatibility ledger using all five governing classifications and explicit exclusions for LDS record access, RLS, TSQ, TDQ, journals, and exits.</w:t>
      </w:r>
    </w:p>
    <w:p>
      <w:pPr>
        <w:pStyle w:val="ListBullet"/>
      </w:pPr>
      <w:r>
        <w:t>Separated eleven gates for graph inventory, corpus provenance, organizations and keys, alternate indexes, file access, mutation behavior, locking/recovery, CICS command boundaries, exclusions, the existing private account-view proof, and authorized native execution.</w:t>
      </w:r>
    </w:p>
    <w:p>
      <w:pPr>
        <w:pStyle w:val="ListBullet"/>
      </w:pPr>
      <w:r>
        <w:t>Added frozen schemas, POSIX/PowerShell release-gate integration, deterministic receipts, graph holdouts, exact-corpus checks, negative diagnostics, and rehashed-overclaim tests.</w:t>
      </w:r>
    </w:p>
    <w:p>
      <w:pPr>
        <w:pStyle w:val="ListBullet"/>
      </w:pPr>
      <w:r>
        <w:t>Kept native VSAM, native CICS, RLS, recovery, runtime, mainframe-equivalence, and production claims false pending authorized region, catalog, concurrency, journal, and recovery evidence.</w:t>
      </w:r>
    </w:p>
    <w:p>
      <w:pPr>
        <w:pStyle w:val="Heading1"/>
      </w:pPr>
      <w:r>
        <w:t>How it differs from earlier work</w:t>
      </w:r>
    </w:p>
    <w:p>
      <w:r>
        <w:t>MS #39 builds on MS #38 (JCL Qualification Hardening). The earlier milestone established its own bounded capability; this milestone adds cics and vsam qualification hardening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cics and vsam qualification hardening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Kept native VSAM, native CICS, RLS, recovery, runtime, mainframe-equivalence, and production claims false pending authorized region, catalog, concurrency, journal, and recovery evidence.</w:t>
      </w:r>
    </w:p>
    <w:p>
      <w:pPr>
        <w:pStyle w:val="Heading1"/>
      </w:pPr>
      <w:r>
        <w:t>Source of record</w:t>
      </w:r>
    </w:p>
    <w:p>
      <w:pPr>
        <w:pStyle w:val="ListBullet"/>
      </w:pPr>
      <w:r>
        <w:t>CHANGELOG.md release section(s): 0.39.0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Pr>
        <w:rFonts w:ascii="Arial" w:hAnsi="Arial"/>
        <w:color w:val="676985"/>
        <w:sz w:val="15"/>
      </w:rPr>
      <w:t>Underlying evidence remains authoritative.</w:t>
    </w:r>
    <w:r>
      <w:rPr>
        <w:rFonts w:ascii="Arial" w:hAnsi="Arial"/>
        <w:color w:val="676985"/>
        <w:sz w:val="17"/>
      </w:rPr>
      <w:tab/>
      <w:t xml:space="preserve">MS #39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#39 - CICS and VSAM Qualification Hardening</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