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#40 - IMS Qualification Hardening</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0.40.0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2026-08-31</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#40 - IMS Qualification Hardening converts a specific part of the LIGHTYEAR modernization approach into a governed, reviewable capability. Qualifies bounded IMS database structure, navigation, status, mutation, checkpoint, and restart semantics.</w:t>
      </w:r>
    </w:p>
    <w:p>
      <w:pPr>
        <w:pStyle w:val="Heading1"/>
      </w:pPr>
      <w:r>
        <w:t>Why this matters to a customer</w:t>
      </w:r>
    </w:p>
    <w:p>
      <w:r>
        <w:t>Qualifies bounded IMS database structure, navigation, status, mutation, checkpoint, and restart semantics.</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Bound IMS qualification to the canonical graph inventory of four databases, four dataset groups, four PSBs, six PCBs, three segments, three fields, and their structural relationships.</w:t>
      </w:r>
    </w:p>
    <w:p>
      <w:pPr>
        <w:pStyle w:val="ListBullet"/>
      </w:pPr>
      <w:r>
        <w:t>Added a deterministic 40-case synthetic semantic corpus with 32 targeted boundary cases, 36 passing cases, four explicit fail-closed cases, and 94 observed feature categories.</w:t>
      </w:r>
    </w:p>
    <w:p>
      <w:pPr>
        <w:pStyle w:val="ListBullet"/>
      </w:pPr>
      <w:r>
        <w:t>Covered HIDAM, secondary-index and GSAM boundaries; GU/GN/GNP and GHU/GHN/GHNP navigation; qualified, unqualified, multi-level, and invalid SSAs; blank, GE, GB, II, AJ, and DJ status codes; ISRT, REPL, DLET, PROCOPT, SENSEG, CHKP, XRST, ROLB, and scheduling boundaries.</w:t>
      </w:r>
    </w:p>
    <w:p>
      <w:pPr>
        <w:pStyle w:val="ListBullet"/>
      </w:pPr>
      <w:r>
        <w:t>Added a 28-entry IMS compatibility ledger using all five governing classifications and explicit exclusions for Fast Path DEDB, MSDB, IMS TM shared queues, DBRC logging, and recovery.</w:t>
      </w:r>
    </w:p>
    <w:p>
      <w:pPr>
        <w:pStyle w:val="ListBullet"/>
      </w:pPr>
      <w:r>
        <w:t>Separated eleven gates for graph inventory, corpus provenance, DBD/storage, hierarchy and SSAs, PSB/PCB policy, navigation/status, mutation behavior, checkpoint/recovery, runtime exclusions, the existing private expiry-purge proof, and authorized native execution.</w:t>
      </w:r>
    </w:p>
    <w:p>
      <w:pPr>
        <w:pStyle w:val="ListBullet"/>
      </w:pPr>
      <w:r>
        <w:t>Added frozen schemas, POSIX/PowerShell release-gate integration, deterministic receipts, graph holdouts, exact-corpus checks, negative diagnostics, and rehashed-overclaim tests.</w:t>
      </w:r>
    </w:p>
    <w:p>
      <w:pPr>
        <w:pStyle w:val="ListBullet"/>
      </w:pPr>
      <w:r>
        <w:t>Kept native IMS, IMS TM, Fast Path, DBRC recovery, restart, runtime, mainframe-equivalence, and production claims false pending authorized region, database, logging, and recovery evidence.</w:t>
      </w:r>
    </w:p>
    <w:p>
      <w:pPr>
        <w:pStyle w:val="Heading1"/>
      </w:pPr>
      <w:r>
        <w:t>How it differs from earlier work</w:t>
      </w:r>
    </w:p>
    <w:p>
      <w:r>
        <w:t>MS #40 builds on MS #39 (CICS and VSAM Qualification Hardening). The earlier milestone established its own bounded capability; this milestone adds ims qualification hardening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ims qualification hardening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Kept native IMS, IMS TM, Fast Path, DBRC recovery, restart, runtime, mainframe-equivalence, and production claims false pending authorized region, database, logging, and recovery evidence.</w:t>
      </w:r>
    </w:p>
    <w:p>
      <w:pPr>
        <w:pStyle w:val="Heading1"/>
      </w:pPr>
      <w:r>
        <w:t>Source of record</w:t>
      </w:r>
    </w:p>
    <w:p>
      <w:pPr>
        <w:pStyle w:val="ListBullet"/>
      </w:pPr>
      <w:r>
        <w:t>CHANGELOG.md release section(s): 0.40.0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Pr>
        <w:rFonts w:ascii="Arial" w:hAnsi="Arial"/>
        <w:color w:val="676985"/>
        <w:sz w:val="15"/>
      </w:rPr>
      <w:t>Underlying evidence remains authoritative.</w:t>
    </w:r>
    <w:r>
      <w:rPr>
        <w:rFonts w:ascii="Arial" w:hAnsi="Arial"/>
        <w:color w:val="676985"/>
        <w:sz w:val="17"/>
      </w:rPr>
      <w:tab/>
      <w:t xml:space="preserve">MS #40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#40 - IMS Qualification Hardening</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