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#37 - PL/I Qualification Hardening</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0.37.0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2026-08-30</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#37 - PL/I Qualification Hardening converts a specific part of the LIGHTYEAR modernization approach into a governed, reviewable capability. Expands and governs PL/I evidence across language semantics and mainframe integration boundaries.</w:t>
      </w:r>
    </w:p>
    <w:p>
      <w:pPr>
        <w:pStyle w:val="Heading1"/>
      </w:pPr>
      <w:r>
        <w:t>Why this matters to a customer</w:t>
      </w:r>
    </w:p>
    <w:p>
      <w:r>
        <w:t>Expands and governs PL/I evidence across language semantics and mainframe integration boundaries.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Consolidated the PL/I conformance lab, mixed-language development proof, mutation evidence, and candidate build attestation into ten independent qualification gates.</w:t>
      </w:r>
    </w:p>
    <w:p>
      <w:pPr>
        <w:pStyle w:val="ListBullet"/>
      </w:pPr>
      <w:r>
        <w:t>Added a 20-entry PL/I compatibility ledger covering declarations, numeric and character semantics, storage, preprocessing, calls, conditions, files, Db2, CICS, IMS, and IBM runtime boundaries using all five governing classifications.</w:t>
      </w:r>
    </w:p>
    <w:p>
      <w:pPr>
        <w:pStyle w:val="ListBullet"/>
      </w:pPr>
      <w:r>
        <w:t>Expanded the conformance corpus from 27 to 52 cases with 25 targeted boundaries for storage classes, arrays, pointers, picture/decimal arithmetic, conditions, preprocessing, record layouts, parameter conventions, SQL cursors, CICS, and IMS; unsupported behavior fails closed.</w:t>
      </w:r>
    </w:p>
    <w:p>
      <w:pPr>
        <w:pStyle w:val="ListBullet"/>
      </w:pPr>
      <w:r>
        <w:t>Bound the qualification to 52 synthetic cases, 22 supported construct categories, seven mutation cases, 16 blocked cases, and the bounded ACCTPL1 reference workload.</w:t>
      </w:r>
    </w:p>
    <w:p>
      <w:pPr>
        <w:pStyle w:val="ListBullet"/>
      </w:pPr>
      <w:r>
        <w:t>Added deterministic qualification artifacts, frozen schemas, Linux/Windows wrappers, release verification integration, and fail-closed overclaim tests.</w:t>
      </w:r>
    </w:p>
    <w:p>
      <w:pPr>
        <w:pStyle w:val="ListBullet"/>
      </w:pPr>
      <w:r>
        <w:t>Kept general Enterprise PL/I, native compiler, z/OS runtime, mainframe equivalence, and production readiness false; the corpus contains no customer source.</w:t>
      </w:r>
    </w:p>
    <w:p>
      <w:pPr>
        <w:pStyle w:val="Heading1"/>
      </w:pPr>
      <w:r>
        <w:t>How it differs from earlier work</w:t>
      </w:r>
    </w:p>
    <w:p>
      <w:r>
        <w:t>MS #37 builds on MS #36 (COBOL Qualification Hardening). The earlier milestone established its own bounded capability; this milestone adds pl/i qualification hardening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pl/i qualification hardening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Kept general Enterprise PL/I, native compiler, z/OS runtime, mainframe equivalence, and production readiness false; the corpus contains no customer source.</w:t>
      </w:r>
    </w:p>
    <w:p>
      <w:pPr>
        <w:pStyle w:val="Heading1"/>
      </w:pPr>
      <w:r>
        <w:t>Source of record</w:t>
      </w:r>
    </w:p>
    <w:p>
      <w:pPr>
        <w:pStyle w:val="ListBullet"/>
      </w:pPr>
      <w:r>
        <w:t>CHANGELOG.md release section(s): 0.37.0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#37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#37 - PL/I Qualification Hardening</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