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9A6B16"/>
          <w:sz w:val="18"/>
        </w:rPr>
        <w:t>CUSTOMER MILESTONE BRIEF</w:t>
      </w:r>
    </w:p>
    <w:p>
      <w:pPr>
        <w:spacing w:after="160"/>
      </w:pPr>
      <w:r>
        <w:rPr>
          <w:rFonts w:ascii="Calibri" w:hAnsi="Calibri"/>
          <w:b/>
          <w:color w:val="0B2545"/>
          <w:sz w:val="56"/>
        </w:rPr>
        <w:t>MS #42 - Integrated Pilot Qualification</w:t>
      </w:r>
    </w:p>
    <w:p>
      <w:pPr>
        <w:spacing w:after="360"/>
      </w:pPr>
      <w:r>
        <w:rPr>
          <w:rFonts w:ascii="Calibri" w:hAnsi="Calibri"/>
          <w:color w:val="4B5563"/>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F2F4F7"/>
          </w:tcPr>
          <w:p>
            <w:r>
              <w:rPr>
                <w:rFonts w:ascii="Calibri" w:hAnsi="Calibri"/>
                <w:b/>
                <w:color w:val="1F4D78"/>
              </w:rPr>
              <w:t>Status</w:t>
            </w:r>
          </w:p>
        </w:tc>
        <w:tc>
          <w:tcPr>
            <w:tcW w:type="dxa" w:w="6660"/>
            <w:tcMar>
              <w:top w:w="80" w:type="dxa"/>
              <w:bottom w:w="80" w:type="dxa"/>
              <w:start w:w="120" w:type="dxa"/>
              <w:end w:w="120" w:type="dxa"/>
            </w:tcMar>
            <w:vAlign w:val="center"/>
          </w:tcPr>
          <w:p>
            <w:r>
              <w:rPr>
                <w:rFonts w:ascii="Calibri" w:hAnsi="Calibri"/>
              </w:rPr>
              <w:t>Complete</w:t>
            </w:r>
          </w:p>
        </w:tc>
      </w:tr>
      <w:tr>
        <w:tc>
          <w:tcPr>
            <w:tcW w:type="dxa" w:w="2700"/>
            <w:tcMar>
              <w:top w:w="80" w:type="dxa"/>
              <w:bottom w:w="80" w:type="dxa"/>
              <w:start w:w="120" w:type="dxa"/>
              <w:end w:w="120" w:type="dxa"/>
            </w:tcMar>
            <w:vAlign w:val="center"/>
            <w:shd w:fill="F2F4F7"/>
          </w:tcPr>
          <w:p>
            <w:r>
              <w:rPr>
                <w:rFonts w:ascii="Calibri" w:hAnsi="Calibri"/>
                <w:b/>
                <w:color w:val="1F4D78"/>
              </w:rPr>
              <w:t>Release</w:t>
            </w:r>
          </w:p>
        </w:tc>
        <w:tc>
          <w:tcPr>
            <w:tcW w:type="dxa" w:w="6660"/>
            <w:tcMar>
              <w:top w:w="80" w:type="dxa"/>
              <w:bottom w:w="80" w:type="dxa"/>
              <w:start w:w="120" w:type="dxa"/>
              <w:end w:w="120" w:type="dxa"/>
            </w:tcMar>
            <w:vAlign w:val="center"/>
          </w:tcPr>
          <w:p>
            <w:r>
              <w:rPr>
                <w:rFonts w:ascii="Calibri" w:hAnsi="Calibri"/>
              </w:rPr>
              <w:t>0.42.0</w:t>
            </w:r>
          </w:p>
        </w:tc>
      </w:tr>
      <w:tr>
        <w:tc>
          <w:tcPr>
            <w:tcW w:type="dxa" w:w="2700"/>
            <w:tcMar>
              <w:top w:w="80" w:type="dxa"/>
              <w:bottom w:w="80" w:type="dxa"/>
              <w:start w:w="120" w:type="dxa"/>
              <w:end w:w="120" w:type="dxa"/>
            </w:tcMar>
            <w:vAlign w:val="center"/>
            <w:shd w:fill="F2F4F7"/>
          </w:tcPr>
          <w:p>
            <w:r>
              <w:rPr>
                <w:rFonts w:ascii="Calibri" w:hAnsi="Calibri"/>
                <w:b/>
                <w:color w:val="1F4D78"/>
              </w:rPr>
              <w:t>Date</w:t>
            </w:r>
          </w:p>
        </w:tc>
        <w:tc>
          <w:tcPr>
            <w:tcW w:type="dxa" w:w="6660"/>
            <w:tcMar>
              <w:top w:w="80" w:type="dxa"/>
              <w:bottom w:w="80" w:type="dxa"/>
              <w:start w:w="120" w:type="dxa"/>
              <w:end w:w="120" w:type="dxa"/>
            </w:tcMar>
            <w:vAlign w:val="center"/>
          </w:tcPr>
          <w:p>
            <w:r>
              <w:rPr>
                <w:rFonts w:ascii="Calibri" w:hAnsi="Calibri"/>
              </w:rPr>
              <w:t>2026-08-31</w:t>
            </w:r>
          </w:p>
        </w:tc>
      </w:tr>
      <w:tr>
        <w:tc>
          <w:tcPr>
            <w:tcW w:type="dxa" w:w="2700"/>
            <w:tcMar>
              <w:top w:w="80" w:type="dxa"/>
              <w:bottom w:w="80" w:type="dxa"/>
              <w:start w:w="120" w:type="dxa"/>
              <w:end w:w="120" w:type="dxa"/>
            </w:tcMar>
            <w:vAlign w:val="center"/>
            <w:shd w:fill="F2F4F7"/>
          </w:tcPr>
          <w:p>
            <w:r>
              <w:rPr>
                <w:rFonts w:ascii="Calibri" w:hAnsi="Calibri"/>
                <w:b/>
                <w:color w:val="1F4D78"/>
              </w:rPr>
              <w:t>Audience</w:t>
            </w:r>
          </w:p>
        </w:tc>
        <w:tc>
          <w:tcPr>
            <w:tcW w:type="dxa" w:w="6660"/>
            <w:tcMar>
              <w:top w:w="80" w:type="dxa"/>
              <w:bottom w:w="80" w:type="dxa"/>
              <w:start w:w="120" w:type="dxa"/>
              <w:end w:w="120" w:type="dxa"/>
            </w:tcMar>
            <w:vAlign w:val="center"/>
          </w:tcPr>
          <w:p>
            <w:r>
              <w:rPr>
                <w:rFonts w:ascii="Calibri" w:hAnsi="Calibri"/>
              </w:rPr>
              <w:t>Customers, partners, executives, architects, delivery teams, and assurance reviewers</w:t>
            </w:r>
          </w:p>
        </w:tc>
      </w:tr>
    </w:tbl>
    <w:p>
      <w:pPr>
        <w:pStyle w:val="Heading1"/>
      </w:pPr>
      <w:r>
        <w:t>Executive summary</w:t>
      </w:r>
    </w:p>
    <w:p>
      <w:r>
        <w:t>MS #42 - Integrated Pilot Qualification converts a specific part of the LIGHTYEAR modernization approach into a governed, reviewable capability. Proves that independently qualified COBOL, PL/I, JCL, DB2, and HLASM subsets compose into one governed customer-shaped pilot.</w:t>
      </w:r>
    </w:p>
    <w:p>
      <w:pPr>
        <w:pStyle w:val="Heading1"/>
      </w:pPr>
      <w:r>
        <w:t>Why this matters to a customer</w:t>
      </w:r>
    </w:p>
    <w:p>
      <w:r>
        <w:t>Proves that independently qualified COBOL, PL/I, JCL, DB2, and HLASM subsets compose into one governed customer-shaped pilot.</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Bound the exact five-cell ACCOUNTV pilot selected in MS #32 to its six source files, five technologies, five coordination dependencies, and canonical source-graph identity.</w:t>
      </w:r>
    </w:p>
    <w:p>
      <w:pPr>
        <w:pStyle w:val="ListBullet"/>
      </w:pPr>
      <w:r>
        <w:t>Added a deterministic 40-case integrated corpus covering online and batch paths, Db2 cardinality, schema and index behavior, copybook layout, JCL flow and datasets, HLASM branching, cross-language calls, source identity, dependency edges, and four fail-closed native vectors.</w:t>
      </w:r>
    </w:p>
    <w:p>
      <w:pPr>
        <w:pStyle w:val="ListBullet"/>
      </w:pPr>
      <w:r>
        <w:t>Preserved material source truths: unqualified single-row SQL cardinality, the PL/I account-ID overwrite, the bounded null/non-null DATEFMT branch, and the external CBACT04C boundary.</w:t>
      </w:r>
    </w:p>
    <w:p>
      <w:pPr>
        <w:pStyle w:val="ListBullet"/>
      </w:pPr>
      <w:r>
        <w:t>Added five bounded cell receipts, ten acceptance-evidence items, 15 blocked live-evidence items, a 30-entry compatibility ledger using all five governing classes, and twelve qualification gates.</w:t>
      </w:r>
    </w:p>
    <w:p>
      <w:pPr>
        <w:pStyle w:val="ListBullet"/>
      </w:pPr>
      <w:r>
        <w:t>Added frozen schemas, POSIX/PowerShell release-gate integration, deterministic artifacts, graph holdouts, source/dependency drift probes, mutation cases, and rehashed-overclaim tests.</w:t>
      </w:r>
    </w:p>
    <w:p>
      <w:pPr>
        <w:pStyle w:val="ListBullet"/>
      </w:pPr>
      <w:r>
        <w:t>Marked Wave 2 integrated development evidence ready while keeping factory dispatch, native compilation/execution, mainframe equivalence, production release, and production readiness false.</w:t>
      </w:r>
    </w:p>
    <w:p>
      <w:pPr>
        <w:pStyle w:val="Heading1"/>
      </w:pPr>
      <w:r>
        <w:t>How it differs from earlier work</w:t>
      </w:r>
    </w:p>
    <w:p>
      <w:r>
        <w:t>MS #42 builds on MS #41 (HLASM Qualification Hardening). The earlier milestone established its own bounded capability; this milestone adds integrated pilot qualification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integrated pilot qualification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0.42.0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p>
      <w:pPr>
        <w:spacing w:before="200"/>
      </w:pPr>
      <w:r>
        <w:rPr>
          <w:rFonts w:ascii="Calibri" w:hAnsi="Calibri"/>
          <w:i/>
          <w:color w:val="6B7280"/>
          <w:sz w:val="18"/>
        </w:rPr>
        <w:t>The underlying schemas, receipts, ledgers, tests, and policy decisions remain authoritative when greater detail is required.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MS #42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6B7280"/>
        <w:sz w:val="17"/>
      </w:rPr>
      <w:t>LIGHTYEAR  |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#42 - Integrated Pilot Qualification</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