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#44 - Milestone Documentation System</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0.44.0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2026-08-31</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#44 - Milestone Documentation System converts a specific part of the LIGHTYEAR modernization approach into a governed, reviewable capability. Turns the engineering history into a consistent customer-ready and auditable body of record across Markdown, Word, and PDF.</w:t>
      </w:r>
    </w:p>
    <w:p>
      <w:pPr>
        <w:pStyle w:val="Heading1"/>
      </w:pPr>
      <w:r>
        <w:t>Why this matters to a customer</w:t>
      </w:r>
    </w:p>
    <w:p>
      <w:r>
        <w:t>Turns the engineering history into a consistent customer-ready and auditable body of record across Markdown, Word, and PDF.</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Forty-four canonical milestone narratives covering MS #1 through MS #44.</w:t>
      </w:r>
    </w:p>
    <w:p>
      <w:pPr>
        <w:pStyle w:val="ListBullet"/>
      </w:pPr>
      <w:r>
        <w:t>Matching Markdown, DOCX, and PDF artifacts for every milestone.</w:t>
      </w:r>
    </w:p>
    <w:p>
      <w:pPr>
        <w:pStyle w:val="ListBullet"/>
      </w:pPr>
      <w:r>
        <w:t>A customer-facing index with direct links to every format.</w:t>
      </w:r>
    </w:p>
    <w:p>
      <w:pPr>
        <w:pStyle w:val="ListBullet"/>
      </w:pPr>
      <w:r>
        <w:t>A deterministic generator and content-addressed artifact manifest.</w:t>
      </w:r>
    </w:p>
    <w:p>
      <w:pPr>
        <w:pStyle w:val="ListBullet"/>
      </w:pPr>
      <w:r>
        <w:t>A fail-closed verifier that detects missing, changed, stale, or extra milestone artifacts.</w:t>
      </w:r>
    </w:p>
    <w:p>
      <w:pPr>
        <w:pStyle w:val="ListBullet"/>
      </w:pPr>
      <w:r>
        <w:t>Roadmap governance that reserves MS #45 for the SAP ASE semantic source adapter.</w:t>
      </w:r>
    </w:p>
    <w:p>
      <w:pPr>
        <w:pStyle w:val="Heading1"/>
      </w:pPr>
      <w:r>
        <w:t>How it differs from earlier work</w:t>
      </w:r>
    </w:p>
    <w:p>
      <w:r>
        <w:t>MS #44 builds on MS #43 (Oracle Source and Stored-Procedure Qualification). The earlier milestone established its own bounded capability; this milestone adds milestone documentation system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milestone documentation system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documents explain and package existing evidence; they do not create new technical qualification or live-system evidence.</w:t>
      </w:r>
    </w:p>
    <w:p>
      <w:pPr>
        <w:pStyle w:val="ListBullet"/>
      </w:pPr>
      <w:r>
        <w:t>A customer-facing narrative does not override the underlying receipts, ledgers, gates, or explicit false claims.</w:t>
      </w:r>
    </w:p>
    <w:p>
      <w:pPr>
        <w:pStyle w:val="ListBullet"/>
      </w:pPr>
      <w:r>
        <w:t>Regeneration is required whenever the catalog, changelog, or documentation generator changes.</w:t>
      </w:r>
    </w:p>
    <w:p>
      <w:pPr>
        <w:pStyle w:val="Heading1"/>
      </w:pPr>
      <w:r>
        <w:t>Source of record</w:t>
      </w:r>
    </w:p>
    <w:p>
      <w:pPr>
        <w:pStyle w:val="ListBullet"/>
      </w:pPr>
      <w:r>
        <w:t>CHANGELOG.md release section(s): 0.44.0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#44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#44 - Milestone Documentation System</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