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#51 - Oracle Native Execution Admission Gate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0.51.0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2026-09-01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#51 - Oracle Native Execution Admission Gate converts a specific part of the LIGHTYEAR modernization approach into a governed, reviewable capability. Defines the admissible evidence required before an Oracle 19c or 26ai conformance claim can be accepted.</w:t>
      </w:r>
    </w:p>
    <w:p>
      <w:pPr>
        <w:pStyle w:val="Heading1"/>
      </w:pPr>
      <w:r>
        <w:t>Why this matters to a customer</w:t>
      </w:r>
    </w:p>
    <w:p>
      <w:r>
        <w:t>Defines the admissible evidence required before an Oracle 19c or 26ai conformance claim can be accepted.</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 content-addressed manifest mapping all 500 behaviors and 2,000 catalog cases to both 19c and 26ai, defining 4,000 required native executions.</w:t>
      </w:r>
    </w:p>
    <w:p>
      <w:pPr>
        <w:pStyle w:val="ListBullet"/>
      </w:pPr>
      <w:r>
        <w:t>A 20-batch version/domain run-pack index with exact case counts and visible harness-materialization and execution states.</w:t>
      </w:r>
    </w:p>
    <w:p>
      <w:pPr>
        <w:pStyle w:val="ListBullet"/>
      </w:pPr>
      <w:r>
        <w:t>A native execution contract binding database and session identity, expectation, harness and observation hashes, diagnostics, timestamps, runner identity, and runtime-key signatures.</w:t>
      </w:r>
    </w:p>
    <w:p>
      <w:pPr>
        <w:pStyle w:val="ListBullet"/>
      </w:pPr>
      <w:r>
        <w:t>External-wallet-only authentication and a no-credential, no-raw-output repository policy.</w:t>
      </w:r>
    </w:p>
    <w:p>
      <w:pPr>
        <w:pStyle w:val="ListBullet"/>
      </w:pPr>
      <w:r>
        <w:t>A strict receipt verifier rejecting unsigned evidence, unknown or duplicate cases, version or binding drift, unsafe security posture, partial promotion, and overclaims.</w:t>
      </w:r>
    </w:p>
    <w:p>
      <w:pPr>
        <w:pStyle w:val="ListBullet"/>
      </w:pPr>
      <w:r>
        <w:t>Three JSON Schemas, deterministic artifacts, cross-platform CLI verification, and adversarial admission tests.</w:t>
      </w:r>
    </w:p>
    <w:p>
      <w:pPr>
        <w:pStyle w:val="Heading1"/>
      </w:pPr>
      <w:r>
        <w:t>How it differs from earlier work</w:t>
      </w:r>
    </w:p>
    <w:p>
      <w:r>
        <w:t>MS #50 completed 2,000 bounded cases with native counts at zero. MS #51 maps them to 19c and 26ai and defines the signed gate for future native runs.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oracle native execution admission gate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Release 0.51.0 materializes zero of 4,000 SQL harnesses and executes zero cases on an authorized Oracle database.</w:t>
      </w:r>
    </w:p>
    <w:p>
      <w:pPr>
        <w:pStyle w:val="ListBullet"/>
      </w:pPr>
      <w:r>
        <w:t>The MS #49 eight-fixture SQL file lacks per-case native observations and is ineligible as catalog-native evidence.</w:t>
      </w:r>
    </w:p>
    <w:p>
      <w:pPr>
        <w:pStyle w:val="ListBullet"/>
      </w:pPr>
      <w:r>
        <w:t>A signed partial receipt proves only its cases; it cannot promote a database lane to conformance.</w:t>
      </w:r>
    </w:p>
    <w:p>
      <w:pPr>
        <w:pStyle w:val="ListBullet"/>
      </w:pPr>
      <w:r>
        <w:t>A lane becomes conformant only after all 2,000 cases pass against one bound database identity and the exact SQL harnesses.</w:t>
      </w:r>
    </w:p>
    <w:p>
      <w:pPr>
        <w:pStyle w:val="ListBullet"/>
      </w:pPr>
      <w:r>
        <w:t>Native Oracle conformance does not establish target equivalence.</w:t>
      </w:r>
    </w:p>
    <w:p>
      <w:pPr>
        <w:pStyle w:val="ListBullet"/>
      </w:pPr>
      <w:r>
        <w:t>No credentials, wallets, verification keys, or raw SQL output are committed.</w:t>
      </w:r>
    </w:p>
    <w:p>
      <w:pPr>
        <w:pStyle w:val="ListBullet"/>
      </w:pPr>
      <w:r>
        <w:t>iDempiere equivalence, CloudBank mapping, migration completion, and production readiness remain false.</w:t>
      </w:r>
    </w:p>
    <w:p>
      <w:pPr>
        <w:pStyle w:val="Heading1"/>
      </w:pPr>
      <w:r>
        <w:t>Source of record</w:t>
      </w:r>
    </w:p>
    <w:p>
      <w:pPr>
        <w:pStyle w:val="ListBullet"/>
      </w:pPr>
      <w:r>
        <w:t>CHANGELOG.md release section(s): 0.51.0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#51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#51 - Oracle Native Execution Admission Gate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