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Control Tower user manual</w:t>
      </w:r>
    </w:p>
    <w:p>
      <w:pPr/>
      <w:r>
        <w:t>Revision October 11, 2026. Operator review; not independent attestation. This manual describes the scoped Decision Console, the CardDemo z/OS intake and the Factory scope for public development evidence (sections 10–14). It replaces the older normalization-only navigation instructions for this workflow. The legacy Discovery viewer (</w:t>
      </w:r>
      <w:r>
        <w:rPr>
          <w:rFonts w:ascii="Consolas" w:hAnsi="Consolas"/>
          <w:sz w:val="18"/>
        </w:rPr>
        <w:t>./live-control-tower.sh serve</w:t>
      </w:r>
      <w:r>
        <w:t>, port 8765) remains a separate read-only view; it is not the Decision Console.</w:t>
      </w:r>
    </w:p>
    <w:p>
      <w:pPr/>
      <w:r/>
      <w:r>
        <w:rPr>
          <w:b/>
        </w:rPr>
        <w:t>Release status.</w:t>
      </w:r>
      <w:r>
        <w:t xml:space="preserve"> Sections 1–9 describe the Console as it exists today. Sections 10–14 describe the Factory scope added by the October 11 work order. Until that release is merged and its acceptance tests pass, Factory decisions are still recorded as dated decision files from chat and are not Tower-signed. The three deliveries implement scoped decisions, Programs, Business rules, Status and Unresolved. They still require green final-head CI and exact-commit approval before merging. No live Factory service is provisioned by this change. Signed-only consumption starts only after Howard signs the backfill and an administrator installs its trust setting. Historical evidence files remain unchanged.</w:t>
      </w:r>
    </w:p>
    <w:p>
      <w:pPr>
        <w:pStyle w:val="Heading1"/>
      </w:pPr>
      <w:r>
        <w:t>1. Open the correct Tower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4176"/>
      </w:tblGrid>
      <w:tr>
        <w:trPr>
          <w:cantSplit/>
          <w:tblHeader/>
        </w:trPr>
        <w:tc>
          <w:tcPr>
            <w:tcW w:type="dxa" w:w="2160"/>
            <w:vAlign w:val="center"/>
            <w:tcMar>
              <w:top w:w="90" w:type="dxa"/>
              <w:left w:w="90" w:type="dxa"/>
              <w:bottom w:w="90" w:type="dxa"/>
              <w:right w:w="90" w:type="dxa"/>
            </w:tcMar>
            <w:shd w:fill="E8EFF4"/>
          </w:tcPr>
          <w:p>
            <w:pPr>
              <w:spacing w:after="60"/>
            </w:pPr>
            <w:r>
              <w:rPr>
                <w:b/>
                <w:sz w:val="20"/>
              </w:rPr>
              <w:t>Work</w:t>
            </w:r>
          </w:p>
        </w:tc>
        <w:tc>
          <w:tcPr>
            <w:tcW w:type="dxa" w:w="3600"/>
            <w:vAlign w:val="center"/>
            <w:tcMar>
              <w:top w:w="90" w:type="dxa"/>
              <w:left w:w="90" w:type="dxa"/>
              <w:bottom w:w="90" w:type="dxa"/>
              <w:right w:w="90" w:type="dxa"/>
            </w:tcMar>
            <w:shd w:fill="E8EFF4"/>
          </w:tcPr>
          <w:p>
            <w:pPr>
              <w:spacing w:after="60"/>
            </w:pPr>
            <w:r>
              <w:rPr>
                <w:b/>
                <w:sz w:val="20"/>
              </w:rPr>
              <w:t>Scope</w:t>
            </w:r>
          </w:p>
        </w:tc>
        <w:tc>
          <w:tcPr>
            <w:tcW w:type="dxa" w:w="4176"/>
            <w:vAlign w:val="center"/>
            <w:tcMar>
              <w:top w:w="90" w:type="dxa"/>
              <w:left w:w="90" w:type="dxa"/>
              <w:bottom w:w="90" w:type="dxa"/>
              <w:right w:w="90" w:type="dxa"/>
            </w:tcMar>
            <w:shd w:fill="E8EFF4"/>
          </w:tcPr>
          <w:p>
            <w:pPr>
              <w:spacing w:after="60"/>
            </w:pPr>
            <w:r>
              <w:rPr>
                <w:b/>
                <w:sz w:val="20"/>
              </w:rPr>
              <w:t>Where to open it</w:t>
            </w:r>
          </w:p>
        </w:tc>
      </w:tr>
      <w:tr>
        <w:trPr>
          <w:cantSplit/>
        </w:trPr>
        <w:tc>
          <w:tcPr>
            <w:tcW w:type="dxa" w:w="2160"/>
            <w:vAlign w:val="center"/>
            <w:tcMar>
              <w:top w:w="90" w:type="dxa"/>
              <w:left w:w="90" w:type="dxa"/>
              <w:bottom w:w="90" w:type="dxa"/>
              <w:right w:w="90" w:type="dxa"/>
            </w:tcMar>
            <w:shd w:fill="FFFFFF"/>
          </w:tcPr>
          <w:p>
            <w:pPr>
              <w:spacing w:after="60"/>
            </w:pPr>
            <w:r>
              <w:rPr>
                <w:sz w:val="20"/>
              </w:rPr>
              <w:t>Incoming Maintec files</w:t>
            </w:r>
          </w:p>
        </w:tc>
        <w:tc>
          <w:tcPr>
            <w:tcW w:type="dxa" w:w="3600"/>
            <w:vAlign w:val="center"/>
            <w:tcMar>
              <w:top w:w="90" w:type="dxa"/>
              <w:left w:w="90" w:type="dxa"/>
              <w:bottom w:w="90" w:type="dxa"/>
              <w:right w:w="90" w:type="dxa"/>
            </w:tcMar>
            <w:shd w:fill="FFFFFF"/>
          </w:tcPr>
          <w:p>
            <w:pPr>
              <w:spacing w:after="60"/>
            </w:pPr>
            <w:r>
              <w:rPr>
                <w:sz w:val="20"/>
              </w:rPr>
            </w:r>
            <w:r>
              <w:rPr>
                <w:rFonts w:ascii="Consolas" w:hAnsi="Consolas"/>
                <w:sz w:val="20"/>
              </w:rPr>
              <w:t>carddemo-zos</w:t>
            </w:r>
            <w:r>
              <w:rPr>
                <w:sz w:val="20"/>
              </w:rPr>
            </w:r>
          </w:p>
        </w:tc>
        <w:tc>
          <w:tcPr>
            <w:tcW w:type="dxa" w:w="4176"/>
            <w:vAlign w:val="center"/>
            <w:tcMar>
              <w:top w:w="90" w:type="dxa"/>
              <w:left w:w="90" w:type="dxa"/>
              <w:bottom w:w="90" w:type="dxa"/>
              <w:right w:w="90" w:type="dxa"/>
            </w:tcMar>
            <w:shd w:fill="FFFFFF"/>
          </w:tcPr>
          <w:p>
            <w:pPr>
              <w:spacing w:after="60"/>
            </w:pPr>
            <w:r>
              <w:rPr>
                <w:sz w:val="20"/>
              </w:rPr>
              <w:t xml:space="preserve">Intake Console, normally </w:t>
            </w:r>
            <w:r>
              <w:rPr>
                <w:rFonts w:ascii="Consolas" w:hAnsi="Consolas"/>
                <w:sz w:val="20"/>
              </w:rPr>
              <w:t>http://127.0.0.1:8767/</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t>B06</w:t>
            </w:r>
          </w:p>
        </w:tc>
        <w:tc>
          <w:tcPr>
            <w:tcW w:type="dxa" w:w="3600"/>
            <w:vAlign w:val="center"/>
            <w:tcMar>
              <w:top w:w="90" w:type="dxa"/>
              <w:left w:w="90" w:type="dxa"/>
              <w:bottom w:w="90" w:type="dxa"/>
              <w:right w:w="90" w:type="dxa"/>
            </w:tcMar>
            <w:shd w:fill="FFFFFF"/>
          </w:tcPr>
          <w:p>
            <w:pPr>
              <w:spacing w:after="60"/>
            </w:pPr>
            <w:r>
              <w:rPr>
                <w:sz w:val="20"/>
              </w:rPr>
            </w:r>
            <w:r>
              <w:rPr>
                <w:rFonts w:ascii="Consolas" w:hAnsi="Consolas"/>
                <w:sz w:val="20"/>
              </w:rPr>
              <w:t>ms94-b06</w:t>
            </w:r>
            <w:r>
              <w:rPr>
                <w:sz w:val="20"/>
              </w:rPr>
            </w:r>
          </w:p>
        </w:tc>
        <w:tc>
          <w:tcPr>
            <w:tcW w:type="dxa" w:w="4176"/>
            <w:vAlign w:val="center"/>
            <w:tcMar>
              <w:top w:w="90" w:type="dxa"/>
              <w:left w:w="90" w:type="dxa"/>
              <w:bottom w:w="90" w:type="dxa"/>
              <w:right w:w="90" w:type="dxa"/>
            </w:tcMar>
            <w:shd w:fill="FFFFFF"/>
          </w:tcPr>
          <w:p>
            <w:pPr>
              <w:spacing w:after="60"/>
            </w:pPr>
            <w:r>
              <w:rPr>
                <w:sz w:val="20"/>
              </w:rPr>
              <w:t>Its separately installed Console, currently port 8766</w:t>
            </w:r>
          </w:p>
        </w:tc>
      </w:tr>
      <w:tr>
        <w:trPr>
          <w:cantSplit/>
        </w:trPr>
        <w:tc>
          <w:tcPr>
            <w:tcW w:type="dxa" w:w="2160"/>
            <w:vAlign w:val="center"/>
            <w:tcMar>
              <w:top w:w="90" w:type="dxa"/>
              <w:left w:w="90" w:type="dxa"/>
              <w:bottom w:w="90" w:type="dxa"/>
              <w:right w:w="90" w:type="dxa"/>
            </w:tcMar>
            <w:shd w:fill="FFFFFF"/>
          </w:tcPr>
          <w:p>
            <w:pPr>
              <w:spacing w:after="60"/>
            </w:pPr>
            <w:r>
              <w:rPr>
                <w:sz w:val="20"/>
              </w:rPr>
              <w:t>Public Verify graph</w:t>
            </w:r>
          </w:p>
        </w:tc>
        <w:tc>
          <w:tcPr>
            <w:tcW w:type="dxa" w:w="3600"/>
            <w:vAlign w:val="center"/>
            <w:tcMar>
              <w:top w:w="90" w:type="dxa"/>
              <w:left w:w="90" w:type="dxa"/>
              <w:bottom w:w="90" w:type="dxa"/>
              <w:right w:w="90" w:type="dxa"/>
            </w:tcMar>
            <w:shd w:fill="FFFFFF"/>
          </w:tcPr>
          <w:p>
            <w:pPr>
              <w:spacing w:after="60"/>
            </w:pPr>
            <w:r>
              <w:rPr>
                <w:sz w:val="20"/>
              </w:rPr>
              <w:t>Separately provisioned Verify scope</w:t>
            </w:r>
          </w:p>
        </w:tc>
        <w:tc>
          <w:tcPr>
            <w:tcW w:type="dxa" w:w="4176"/>
            <w:vAlign w:val="center"/>
            <w:tcMar>
              <w:top w:w="90" w:type="dxa"/>
              <w:left w:w="90" w:type="dxa"/>
              <w:bottom w:w="90" w:type="dxa"/>
              <w:right w:w="90" w:type="dxa"/>
            </w:tcMar>
            <w:shd w:fill="FFFFFF"/>
          </w:tcPr>
          <w:p>
            <w:pPr>
              <w:spacing w:after="60"/>
            </w:pPr>
            <w:r>
              <w:rPr>
                <w:sz w:val="20"/>
              </w:rPr>
              <w:t>Its configured Console; no automatic activation</w:t>
            </w:r>
          </w:p>
        </w:tc>
      </w:tr>
      <w:tr>
        <w:trPr>
          <w:cantSplit/>
        </w:trPr>
        <w:tc>
          <w:tcPr>
            <w:tcW w:type="dxa" w:w="2160"/>
            <w:vAlign w:val="center"/>
            <w:tcMar>
              <w:top w:w="90" w:type="dxa"/>
              <w:left w:w="90" w:type="dxa"/>
              <w:bottom w:w="90" w:type="dxa"/>
              <w:right w:w="90" w:type="dxa"/>
            </w:tcMar>
            <w:shd w:fill="FFFFFF"/>
          </w:tcPr>
          <w:p>
            <w:pPr>
              <w:spacing w:after="60"/>
            </w:pPr>
            <w:r>
              <w:rPr>
                <w:sz w:val="20"/>
              </w:rPr>
              <w:t>Factory evidence: programs, scenarios, mutation, twin, keep-or-fix, model-spend approvals</w:t>
            </w:r>
          </w:p>
        </w:tc>
        <w:tc>
          <w:tcPr>
            <w:tcW w:type="dxa" w:w="3600"/>
            <w:vAlign w:val="center"/>
            <w:tcMar>
              <w:top w:w="90" w:type="dxa"/>
              <w:left w:w="90" w:type="dxa"/>
              <w:bottom w:w="90" w:type="dxa"/>
              <w:right w:w="90" w:type="dxa"/>
            </w:tcMar>
            <w:shd w:fill="FFFFFF"/>
          </w:tcPr>
          <w:p>
            <w:pPr>
              <w:spacing w:after="60"/>
            </w:pPr>
            <w:r>
              <w:rPr>
                <w:sz w:val="20"/>
              </w:rPr>
            </w:r>
            <w:r>
              <w:rPr>
                <w:rFonts w:ascii="Consolas" w:hAnsi="Consolas"/>
                <w:sz w:val="20"/>
              </w:rPr>
              <w:t>factory</w:t>
            </w:r>
            <w:r>
              <w:rPr>
                <w:sz w:val="20"/>
              </w:rPr>
            </w:r>
          </w:p>
        </w:tc>
        <w:tc>
          <w:tcPr>
            <w:tcW w:type="dxa" w:w="4176"/>
            <w:vAlign w:val="center"/>
            <w:tcMar>
              <w:top w:w="90" w:type="dxa"/>
              <w:left w:w="90" w:type="dxa"/>
              <w:bottom w:w="90" w:type="dxa"/>
              <w:right w:w="90" w:type="dxa"/>
            </w:tcMar>
            <w:shd w:fill="FFFFFF"/>
          </w:tcPr>
          <w:p>
            <w:pPr>
              <w:spacing w:after="60"/>
            </w:pPr>
            <w:r>
              <w:rPr>
                <w:sz w:val="20"/>
              </w:rPr>
              <w:t>Factory Console, port set at provisioning (proposed 8768). See section 10</w:t>
            </w:r>
          </w:p>
        </w:tc>
      </w:tr>
    </w:tbl>
    <w:p/>
    <w:p>
      <w:pPr/>
      <w:r>
        <w:t>Signing in to B06 does not expose CardDemo or Verify requests. Selecting a graph or workload in Discovery does not switch the authority. Use a separate data root, authority and journal for each engagement. Keep the current B06 service running. The Console records decisions; it does not run Java, Docker, models or z/OS jobs.</w:t>
      </w:r>
    </w:p>
    <w:p>
      <w:pPr/>
      <w:r>
        <w:t xml:space="preserve">Before delivery, have an administrator complete the </w:t>
      </w:r>
      <w:hyperlink r:id="rId11">
        <w:r>
          <w:t>CardDemo workspace and identity setup</w:t>
        </w:r>
      </w:hyperlink>
      <w:r>
        <w:t>. Do not create another authority if one already exists. Confirm the public key fingerprint through a trusted channel. Keep keys outside the engine-writable intake root; keep individual credentials with their owners. An intake signing key, Tower decision authority and an agent credential are different things.</w:t>
      </w:r>
    </w:p>
    <w:p>
      <w:pPr/>
      <w:r>
        <w:t>For an already configured intake, use a separate PowerShell terminal and actual installed paths (the example checkout path is not proof it exists):</w:t>
      </w:r>
    </w:p>
    <w:p>
      <w:r>
        <w:rPr>
          <w:rFonts w:ascii="Consolas" w:hAnsi="Consolas"/>
          <w:sz w:val="18"/>
        </w:rPr>
        <w:t>$IntakeRoot = 'C:\Users\howar\OneDrive\Documents\ChatGPT\lightyear-carddemo-modernization\work\carddemo-zos-intake'</w:t>
        <w:br/>
        <w:t>Set-Location -LiteralPath $IntakeRoot</w:t>
        <w:br/>
        <w:t>$env:PYTHONPATH = 'src;.'</w:t>
        <w:br/>
        <w:t>$env:PYTHONUTF8 = '1'</w:t>
        <w:br/>
        <w:t>$Python = Join-Path $IntakeRoot '.venv/Scripts/python.exe'</w:t>
        <w:br/>
        <w:t>$TowerAuthority = 'C:\ProgramData\Lightyear\CardDemoTowerAuthority\authority.json'</w:t>
        <w:br/>
        <w:t>if (!(Test-Path -LiteralPath $Python) -or !(Test-Path -LiteralPath $TowerAuthority)) {</w:t>
        <w:br/>
        <w:t xml:space="preserve">    throw 'Complete the separate intake setup and use its actual paths first.'</w:t>
        <w:br/>
        <w:t>}</w:t>
        <w:br/>
        <w:t>&amp; $Python -m lightyear_control_tower serve --root $IntakeRoot --authority $TowerAuthority --port 8767</w:t>
      </w:r>
    </w:p>
    <w:p>
      <w:pPr/>
      <w:r>
        <w:t xml:space="preserve">Open the printed loopback URL. Sign in using </w:t>
      </w:r>
      <w:r>
        <w:rPr>
          <w:b/>
        </w:rPr>
        <w:t>Individual credential</w:t>
      </w:r>
      <w:r>
        <w:t xml:space="preserve">. Confirm the scope and operator identity, then select </w:t>
      </w:r>
      <w:r>
        <w:rPr>
          <w:b/>
        </w:rPr>
        <w:t>Work queue</w:t>
      </w:r>
      <w:r>
        <w:t xml:space="preserve">. The tabs are Campaigns, Work queue, Catalogue, Customer workspace, Decision history, Graph memory and Business rules. In the CardDemo intake scope, Graph memory and Business rules are deliberately empty: that scope accepts only intake acceptance, normalization, difference disposition and evidence release. The Factory scope adds Programs, Status and Unresolved (section 10). CardDemo's </w:t>
      </w:r>
      <w:r>
        <w:rPr>
          <w:b/>
        </w:rPr>
        <w:t>Customer workspace</w:t>
      </w:r>
      <w:r>
        <w:t xml:space="preserve"> is the read-only arrivals view. Never paste a private key, dataset, SYSOUT or record value into any login or note.</w:t>
      </w:r>
    </w:p>
    <w:p>
      <w:pPr>
        <w:pStyle w:val="Heading1"/>
      </w:pPr>
      <w:r>
        <w:t>2. Prepare for the arriving folder</w:t>
      </w:r>
    </w:p>
    <w:p>
      <w:pPr/>
      <w:r>
        <w:t xml:space="preserve">1. Pin the reviewed intake code revision and retain it for replay. Build the existing Java INTCALC candidate before touching a delivery, using the </w:t>
      </w:r>
      <w:hyperlink r:id="rId12">
        <w:r>
          <w:t>preparation commands</w:t>
        </w:r>
      </w:hyperlink>
      <w:r>
        <w:t>.</w:t>
      </w:r>
    </w:p>
    <w:p>
      <w:pPr/>
      <w:r>
        <w:t>2. Run the public-data rehearsal first. A passing rehearsal is not Maintec acceptance and not evidence of fresh z/OS execution.</w:t>
      </w:r>
    </w:p>
    <w:p>
      <w:pPr/>
      <w:r>
        <w:t xml:space="preserve">3. Set </w:t>
      </w:r>
      <w:r>
        <w:rPr>
          <w:rFonts w:ascii="Consolas" w:hAnsi="Consolas"/>
          <w:sz w:val="18"/>
        </w:rPr>
        <w:t>$IntakeKey</w:t>
      </w:r>
      <w:r>
        <w:t xml:space="preserve">, </w:t>
      </w:r>
      <w:r>
        <w:rPr>
          <w:rFonts w:ascii="Consolas" w:hAnsi="Consolas"/>
          <w:sz w:val="18"/>
        </w:rPr>
        <w:t>$IntakePublicKey</w:t>
      </w:r>
      <w:r>
        <w:t xml:space="preserve"> and </w:t>
      </w:r>
      <w:r>
        <w:rPr>
          <w:rFonts w:ascii="Consolas" w:hAnsi="Consolas"/>
          <w:sz w:val="18"/>
        </w:rPr>
        <w:t>$Jar</w:t>
      </w:r>
      <w:r>
        <w:t xml:space="preserve"> to the provisioned intake key, independently trusted public key and built candidate JAR. Do not use a rehearsal key for actual acceptance. Do not overwrite existing keys.</w:t>
      </w:r>
    </w:p>
    <w:p>
      <w:pPr/>
      <w:r>
        <w:t>4. Keep the delivered folder unchanged. The tool copies it into a fresh ignored arrival. Keep all originals, decoded values, candidate outputs and logs local.</w:t>
      </w:r>
    </w:p>
    <w:p>
      <w:pPr/>
      <w:r>
        <w:t xml:space="preserve">5. Check the delivery contract: submitted JCL/procedures, complete readable job output, return codes, before/after dataset images, listings, notes and </w:t>
      </w:r>
      <w:r>
        <w:rPr>
          <w:rFonts w:ascii="Consolas" w:hAnsi="Consolas"/>
          <w:sz w:val="18"/>
        </w:rPr>
        <w:t>run.json</w:t>
      </w:r>
      <w:r>
        <w:t xml:space="preserve"> transfer metadata. Ask for missing metadata; never infer expected values.</w:t>
      </w:r>
    </w:p>
    <w:p>
      <w:pPr/>
      <w:r>
        <w:t xml:space="preserve">Metadata must identify job, steps/DDs, encoding and DCB, processing parameters, explicit candidate timestamp and starting state. Dates in examples are not live defaults. See the </w:t>
      </w:r>
      <w:hyperlink r:id="rId13">
        <w:r>
          <w:t>delivery contract</w:t>
        </w:r>
      </w:hyperlink>
      <w:r>
        <w:t xml:space="preserve"> for accepted formats and resend instructions. VB/BDW/spanned input is refused; request supported unblocked binary RDW or fixed sequential binary exports.</w:t>
      </w:r>
    </w:p>
    <w:p>
      <w:pPr>
        <w:pStyle w:val="Heading1"/>
      </w:pPr>
      <w:r>
        <w:t>3. Freeze the delivery and review intake acceptance</w:t>
      </w:r>
    </w:p>
    <w:p>
      <w:pPr/>
      <w:r>
        <w:t xml:space="preserve">Run commands in a second PowerShell terminal in the same intake root, with the same environment and </w:t>
      </w:r>
      <w:r>
        <w:rPr>
          <w:rFonts w:ascii="Consolas" w:hAnsi="Consolas"/>
          <w:sz w:val="18"/>
        </w:rPr>
        <w:t>$Python</w:t>
      </w:r>
      <w:r>
        <w:t xml:space="preserve"> variable. Substitute the actual delivery path.</w:t>
      </w:r>
    </w:p>
    <w:p>
      <w:r>
        <w:rPr>
          <w:rFonts w:ascii="Consolas" w:hAnsi="Consolas"/>
          <w:sz w:val="18"/>
        </w:rPr>
        <w:t>$Delivery = 'C:\Users\howar\Downloads\Maintec-CardDemo'</w:t>
        <w:br/>
        <w:t>$Received = (Get-Date).ToUniversalTime().ToString('yyyy-MM-ddTHH:mm:ssZ')</w:t>
        <w:br/>
        <w:t>$Intake = &amp; $Python -m lightyear_mainframe intake $Delivery --key $IntakeKey --source-description "Maintec delivery received $Received" | ConvertFrom-Json</w:t>
        <w:br/>
        <w:t>if ($LASTEXITCODE -ne 0) { throw 'Intake refused. Preserve the supplied folder.' }</w:t>
        <w:br/>
        <w:t>$Arrival = Join-Path 'work/mainframe/arrivals' $Intake.arrival_id</w:t>
        <w:br/>
        <w:t>Get-Content -LiteralPath (Join-Path $Arrival 'gaps.md')</w:t>
      </w:r>
    </w:p>
    <w:p>
      <w:pPr/>
      <w:r>
        <w:t xml:space="preserve">Read </w:t>
      </w:r>
      <w:r>
        <w:rPr>
          <w:rFonts w:ascii="Consolas" w:hAnsi="Consolas"/>
          <w:sz w:val="18"/>
        </w:rPr>
        <w:t>status</w:t>
      </w:r>
      <w:r>
        <w:t xml:space="preserve"> and the findings count, not only the command's exit code. </w:t>
      </w:r>
      <w:r>
        <w:rPr>
          <w:rFonts w:ascii="Consolas" w:hAnsi="Consolas"/>
          <w:sz w:val="18"/>
        </w:rPr>
        <w:t>ready-for-review</w:t>
      </w:r>
      <w:r>
        <w:t xml:space="preserve"> is not acceptance. Resolve missing files/DCB/encoding/return codes with Maintec before accepting. A corrected delivery becomes a </w:t>
      </w:r>
      <w:r>
        <w:rPr>
          <w:b/>
        </w:rPr>
        <w:t>new</w:t>
      </w:r>
      <w:r>
        <w:t xml:space="preserve"> arrival, with an attribution note; never edit an existing </w:t>
      </w:r>
      <w:r>
        <w:rPr>
          <w:rFonts w:ascii="Consolas" w:hAnsi="Consolas"/>
          <w:sz w:val="18"/>
        </w:rPr>
        <w:t>original/</w:t>
      </w:r>
      <w:r>
        <w:t>.</w:t>
      </w:r>
    </w:p>
    <w:p>
      <w:pPr/>
      <w:r>
        <w:t>In Tower:</w:t>
      </w:r>
    </w:p>
    <w:p>
      <w:pPr/>
      <w:r>
        <w:t xml:space="preserve">1. Select </w:t>
      </w:r>
      <w:r>
        <w:rPr>
          <w:b/>
        </w:rPr>
        <w:t>Customer workspace</w:t>
      </w:r>
      <w:r>
        <w:t xml:space="preserve"> and confirm the arrival hash and counts.</w:t>
      </w:r>
    </w:p>
    <w:p>
      <w:pPr/>
      <w:r>
        <w:t xml:space="preserve">2. Select </w:t>
      </w:r>
      <w:r>
        <w:rPr>
          <w:b/>
        </w:rPr>
        <w:t>Work queue</w:t>
      </w:r>
      <w:r>
        <w:t xml:space="preserve">; open the </w:t>
      </w:r>
      <w:r>
        <w:rPr>
          <w:rFonts w:ascii="Consolas" w:hAnsi="Consolas"/>
          <w:sz w:val="18"/>
        </w:rPr>
        <w:t>intake-acceptance</w:t>
      </w:r>
      <w:r>
        <w:t xml:space="preserve"> item for that hash.</w:t>
      </w:r>
    </w:p>
    <w:p>
      <w:pPr/>
      <w:r>
        <w:t>3. Read the bound evidence and local gaps. Tower deliberately shows no records.</w:t>
      </w:r>
    </w:p>
    <w:p>
      <w:pPr/>
      <w:r>
        <w:t xml:space="preserve">4. With Howard's </w:t>
      </w:r>
      <w:r>
        <w:rPr>
          <w:rFonts w:ascii="Consolas" w:hAnsi="Consolas"/>
          <w:sz w:val="18"/>
        </w:rPr>
        <w:t>qualification-approver</w:t>
      </w:r>
      <w:r>
        <w:t xml:space="preserve"> role, choose </w:t>
      </w:r>
      <w:r>
        <w:rPr>
          <w:rFonts w:ascii="Consolas" w:hAnsi="Consolas"/>
          <w:sz w:val="18"/>
        </w:rPr>
        <w:t>accepted</w:t>
      </w:r>
      <w:r>
        <w:t xml:space="preserve"> or </w:t>
      </w:r>
      <w:r>
        <w:rPr>
          <w:rFonts w:ascii="Consolas" w:hAnsi="Consolas"/>
          <w:sz w:val="18"/>
        </w:rPr>
        <w:t>rejected</w:t>
      </w:r>
      <w:r>
        <w:t xml:space="preserve">, complete the requested fields, then click </w:t>
      </w:r>
      <w:r>
        <w:rPr>
          <w:b/>
        </w:rPr>
        <w:t>Record decision</w:t>
      </w:r>
      <w:r>
        <w:t xml:space="preserve"> once.</w:t>
      </w:r>
    </w:p>
    <w:p>
      <w:pPr/>
      <w:r>
        <w:t xml:space="preserve">5. Confirm the signed event in </w:t>
      </w:r>
      <w:r>
        <w:rPr>
          <w:b/>
        </w:rPr>
        <w:t>Decision history</w:t>
      </w:r>
      <w:r>
        <w:t>. Refresh instead of submitting repeatedly. An accepted intake does not establish equivalence or launch a job.</w:t>
      </w:r>
    </w:p>
    <w:p>
      <w:pPr/>
      <w:r>
        <w:t xml:space="preserve">The inbox is </w:t>
      </w:r>
      <w:r>
        <w:rPr>
          <w:rFonts w:ascii="Consolas" w:hAnsi="Consolas"/>
          <w:sz w:val="18"/>
        </w:rPr>
        <w:t>work/control-tower/requests/carddemo-zos/</w:t>
      </w:r>
      <w:r>
        <w:t xml:space="preserve"> under the </w:t>
      </w:r>
      <w:r>
        <w:rPr>
          <w:b/>
        </w:rPr>
        <w:t>data root passed to serve</w:t>
      </w:r>
      <w:r>
        <w:t xml:space="preserve">, not automatically the source-code folder. Its safe review records live under </w:t>
      </w:r>
      <w:r>
        <w:rPr>
          <w:rFonts w:ascii="Consolas" w:hAnsi="Consolas"/>
          <w:sz w:val="18"/>
        </w:rPr>
        <w:t>work/mainframe/review/</w:t>
      </w:r>
      <w:r>
        <w:t>. A root mismatch is a common cause of an empty queue; do not repair it by copying a key or using the B06 root.</w:t>
      </w:r>
    </w:p>
    <w:p>
      <w:pPr>
        <w:pStyle w:val="Heading1"/>
      </w:pPr>
      <w:r>
        <w:t>4. Decode, observe and compare locally</w:t>
      </w:r>
    </w:p>
    <w:p>
      <w:pPr/>
      <w:r>
        <w:t xml:space="preserve">Intake assigns opaque IDs, not fixed job ordering. Inspect the local </w:t>
      </w:r>
      <w:r>
        <w:rPr>
          <w:rFonts w:ascii="Consolas" w:hAnsi="Consolas"/>
          <w:sz w:val="18"/>
        </w:rPr>
        <w:t>runs/run-NNN/run.json</w:t>
      </w:r>
      <w:r>
        <w:t xml:space="preserve"> privately to identify the intended job and repeat run. Use actual IDs below; these examples are not instructions to assume run 1 is INTCALC.</w:t>
      </w:r>
    </w:p>
    <w:p>
      <w:r>
        <w:rPr>
          <w:rFonts w:ascii="Consolas" w:hAnsi="Consolas"/>
          <w:sz w:val="18"/>
        </w:rPr>
        <w:t>$Run1 = Join-Path $Arrival 'runs/run-001'</w:t>
        <w:br/>
        <w:t>$Run2 = Join-Path $Arrival 'runs/run-002'</w:t>
        <w:br/>
        <w:t>&amp; $Python -m lightyear_mainframe decode-run $Run1 --public-key $IntakePublicKey</w:t>
        <w:br/>
        <w:t>&amp; $Python -m lightyear_mainframe observe-run $Run1 --public-key $IntakePublicKey</w:t>
        <w:br/>
        <w:t>&amp; $Python -m lightyear_mainframe decode-run $Run2 --public-key $IntakePublicKey</w:t>
        <w:br/>
        <w:t>&amp; $Python -m lightyear_mainframe compare-runs $Run1 $Run2 --public-key $IntakePublicKey</w:t>
        <w:br/>
        <w:t>&amp; $Python -m lightyear_mainframe delta $Run1 --public-key $IntakePublicKey</w:t>
      </w:r>
    </w:p>
    <w:p>
      <w:pPr/>
      <w:r>
        <w:t>Stop after any tool refusal; inspect its local evidence and preserve it. Missing or conflicting metadata is not a reason to guess. Compare repeat runs only when the before-images, parameters and restoration identity support the comparison. Duplicate keys make comparison indeterminate. Counts and field paths may be shared only under the disclosure policy; decoded values remain private.</w:t>
      </w:r>
    </w:p>
    <w:p>
      <w:pPr/>
      <w:r>
        <w:t>POSTTRAN, CREASTMT and TRANREPT stop at intake/observation/comparison here. There is no Java candidate for those jobs in this intake workflow.</w:t>
      </w:r>
    </w:p>
    <w:p>
      <w:pPr>
        <w:pStyle w:val="Heading1"/>
      </w:pPr>
      <w:r>
        <w:t>5. Decide any normalization before sealing the verdict</w:t>
      </w:r>
    </w:p>
    <w:p>
      <w:pPr/>
      <w:r>
        <w:t xml:space="preserve">A comparison may draft the narrowly supported processing-timestamp exception. It is a proposal, not a rule. An authenticated </w:t>
      </w:r>
      <w:r>
        <w:rPr>
          <w:rFonts w:ascii="Consolas" w:hAnsi="Consolas"/>
          <w:sz w:val="18"/>
        </w:rPr>
        <w:t>zos-intake</w:t>
      </w:r>
      <w:r>
        <w:t xml:space="preserve"> agent must submit its exact </w:t>
      </w:r>
      <w:r>
        <w:rPr>
          <w:rFonts w:ascii="Consolas" w:hAnsi="Consolas"/>
          <w:sz w:val="18"/>
        </w:rPr>
        <w:t>zos-tower-rule/1</w:t>
      </w:r>
      <w:r>
        <w:t xml:space="preserve"> via </w:t>
      </w:r>
      <w:r>
        <w:rPr>
          <w:rFonts w:ascii="Consolas" w:hAnsi="Consolas"/>
          <w:sz w:val="18"/>
        </w:rPr>
        <w:t>propose_rule</w:t>
      </w:r>
      <w:r>
        <w:t xml:space="preserve">; this is a deterministic MCP operation and needs no model. See </w:t>
      </w:r>
      <w:hyperlink r:id="rId14">
        <w:r>
          <w:t>the exact proposal contract</w:t>
        </w:r>
      </w:hyperlink>
      <w:r>
        <w:t>. A file labelled “proposed by agent” does not satisfy that authentication.</w:t>
      </w:r>
    </w:p>
    <w:p>
      <w:pPr/>
      <w:r>
        <w:t xml:space="preserve">Howard opens the normalization in </w:t>
      </w:r>
      <w:r>
        <w:rPr>
          <w:b/>
        </w:rPr>
        <w:t>Work queue</w:t>
      </w:r>
      <w:r>
        <w:t xml:space="preserve">, reviews the exact run hashes, field/pattern and still-caught mutant, then approves or rejects using the </w:t>
      </w:r>
      <w:r>
        <w:rPr>
          <w:rFonts w:ascii="Consolas" w:hAnsi="Consolas"/>
          <w:sz w:val="18"/>
        </w:rPr>
        <w:t>normalization-approver</w:t>
      </w:r>
      <w:r>
        <w:t xml:space="preserve"> role. Enter the real accountable owner and a future review date. Expiry is </w:t>
      </w:r>
      <w:r>
        <w:rPr>
          <w:b/>
        </w:rPr>
        <w:t>00:00 UTC at the start of that date</w:t>
      </w:r>
      <w:r>
        <w:t xml:space="preserve">. The CardDemo owner is </w:t>
      </w:r>
      <w:r>
        <w:rPr>
          <w:rFonts w:ascii="Consolas" w:hAnsi="Consolas"/>
          <w:sz w:val="18"/>
        </w:rPr>
        <w:t>howard-weale</w:t>
      </w:r>
      <w:r>
        <w:t>; reasons/notes are retained only as hash commitments. Keep the readable explanation privately; never put record values in the form.</w:t>
      </w:r>
    </w:p>
    <w:p>
      <w:pPr/>
      <w:r>
        <w:t xml:space="preserve">Obtain the signed register from </w:t>
      </w:r>
      <w:r>
        <w:rPr>
          <w:rFonts w:ascii="Consolas" w:hAnsi="Consolas"/>
          <w:sz w:val="18"/>
        </w:rPr>
        <w:t>GET /api/tower/rules</w:t>
      </w:r>
      <w:r>
        <w:t xml:space="preserve"> using an authenticated local client, or an explicit verified decision bundle. The operator must supply the independently trusted Tower public key and current journal head. Retain the approved file locally as </w:t>
      </w:r>
      <w:r>
        <w:rPr>
          <w:rFonts w:ascii="Consolas" w:hAnsi="Consolas"/>
          <w:sz w:val="18"/>
        </w:rPr>
        <w:t>$Rules</w:t>
      </w:r>
      <w:r>
        <w:t>; do not derive trust from the bundle itself. No rules means exact comparison. The old normalization ledger is never applied.</w:t>
      </w:r>
    </w:p>
    <w:p>
      <w:pPr/>
      <w:r/>
      <w:r>
        <w:rPr>
          <w:b/>
        </w:rPr>
        <w:t>Choose the verdict path before running it.</w:t>
      </w:r>
      <w:r>
        <w:t xml:space="preserve"> Existing verdicts are immutable. Do not first run an exact verdict and then overwrite it with an approved one. If a proposal is pending, complete review before the first verdict, or deliberately retain an exact divergent verdict. Later changes need a new admitted run, with all earlier outcomes preserved.</w:t>
      </w:r>
    </w:p>
    <w:p>
      <w:pPr>
        <w:pStyle w:val="Heading1"/>
      </w:pPr>
      <w:r>
        <w:t>6. Run INTCALC and replay</w:t>
      </w:r>
    </w:p>
    <w:p>
      <w:pPr/>
      <w:r>
        <w:t>Use the unchanged built JAR and explicit processing clock parameters from the submitted metadata/notes. Hidden after-images must never supply candidate inputs.</w:t>
      </w:r>
    </w:p>
    <w:p>
      <w:r>
        <w:rPr>
          <w:rFonts w:ascii="Consolas" w:hAnsi="Consolas"/>
          <w:sz w:val="18"/>
        </w:rPr>
        <w:t>&amp; $Python -m lightyear_mainframe prepare-intcalc-inputs $Run1 --public-key $IntakePublicKey --key $IntakeKey</w:t>
        <w:br/>
        <w:t>&amp; $Python -m lightyear_mainframe run-intcalc $Run1 --jar $Jar --public-key $IntakePublicKey --key $IntakeKey</w:t>
        <w:br/>
        <w:t># Choose ONE first-verdict command:</w:t>
        <w:br/>
        <w:t>&amp; $Python -m lightyear_mainframe verdict-intcalc $Run1 --public-key $IntakePublicKey --key $IntakeKey</w:t>
        <w:br/>
        <w:t># OR, only with reviewed rules and independently established trust:</w:t>
        <w:br/>
        <w:t># &amp; $Python -m lightyear_mainframe verdict-intcalc $Run1 --public-key $IntakePublicKey --key $IntakeKey --normalizations $Rules --tower-public-key $TowerPublicKey --tower-head $TrustedTowerHead</w:t>
        <w:br/>
        <w:t>&amp; $Python -m lightyear_mainframe replay-intcalc $Run1 --public-key $IntakePublicKey</w:t>
        <w:br/>
        <w:t># For the approved-rule path, also supply --tower-public-key $TowerPublicKey to replay.</w:t>
      </w:r>
    </w:p>
    <w:p>
      <w:pPr/>
      <w:r>
        <w:t xml:space="preserve">Check each exit code before proceeding. Java runs at most five minutes. </w:t>
      </w:r>
      <w:r>
        <w:rPr>
          <w:rFonts w:ascii="Consolas" w:hAnsi="Consolas"/>
          <w:sz w:val="18"/>
        </w:rPr>
        <w:t>equivalent</w:t>
      </w:r>
      <w:r>
        <w:t xml:space="preserve">, </w:t>
      </w:r>
      <w:r>
        <w:rPr>
          <w:rFonts w:ascii="Consolas" w:hAnsi="Consolas"/>
          <w:sz w:val="18"/>
        </w:rPr>
        <w:t>divergent</w:t>
      </w:r>
      <w:r>
        <w:t xml:space="preserve"> and </w:t>
      </w:r>
      <w:r>
        <w:rPr>
          <w:rFonts w:ascii="Consolas" w:hAnsi="Consolas"/>
          <w:sz w:val="18"/>
        </w:rPr>
        <w:t>indeterminate</w:t>
      </w:r>
      <w:r>
        <w:t xml:space="preserve"> are honest measurement outcomes. A successful CLI exit is not an equivalent verdict. Offline replay recomputes comparison from retained bytes/signatures; it does not rerun Java or observe current z/OS state. A historical approved proof establishes authorization at its recorded head/time.</w:t>
      </w:r>
    </w:p>
    <w:p>
      <w:pPr>
        <w:pStyle w:val="Heading1"/>
      </w:pPr>
      <w:r>
        <w:t>7. Disposition and release are separate decisions</w:t>
      </w:r>
    </w:p>
    <w:p>
      <w:pPr/>
      <w:r>
        <w:t xml:space="preserve">A divergent verdict produces a </w:t>
      </w:r>
      <w:r>
        <w:rPr>
          <w:rFonts w:ascii="Consolas" w:hAnsi="Consolas"/>
          <w:sz w:val="18"/>
        </w:rPr>
        <w:t>difference-disposition</w:t>
      </w:r>
      <w:r>
        <w:t xml:space="preserve"> request. Howard's workload-scoped </w:t>
      </w:r>
      <w:r>
        <w:rPr>
          <w:rFonts w:ascii="Consolas" w:hAnsi="Consolas"/>
          <w:sz w:val="18"/>
        </w:rPr>
        <w:t>business-owner</w:t>
      </w:r>
      <w:r>
        <w:t xml:space="preserve"> role can record </w:t>
      </w:r>
      <w:r>
        <w:rPr>
          <w:rFonts w:ascii="Consolas" w:hAnsi="Consolas"/>
          <w:sz w:val="18"/>
        </w:rPr>
        <w:t>defect</w:t>
      </w:r>
      <w:r>
        <w:t xml:space="preserve">, </w:t>
      </w:r>
      <w:r>
        <w:rPr>
          <w:rFonts w:ascii="Consolas" w:hAnsi="Consolas"/>
          <w:sz w:val="18"/>
        </w:rPr>
        <w:t>intended-change</w:t>
      </w:r>
      <w:r>
        <w:t xml:space="preserve"> or </w:t>
      </w:r>
      <w:r>
        <w:rPr>
          <w:rFonts w:ascii="Consolas" w:hAnsi="Consolas"/>
          <w:sz w:val="18"/>
        </w:rPr>
        <w:t>needs-information</w:t>
      </w:r>
      <w:r>
        <w:t>. That decision changes neither the verdict nor the rule. Investigate any needed implementation/rule change separately.</w:t>
      </w:r>
    </w:p>
    <w:p>
      <w:pPr/>
      <w:r>
        <w:t>To share, select only the closed safe intake/difference review JSON files:</w:t>
      </w:r>
    </w:p>
    <w:p>
      <w:r>
        <w:rPr>
          <w:rFonts w:ascii="Consolas" w:hAnsi="Consolas"/>
          <w:sz w:val="18"/>
        </w:rPr>
        <w:t>&amp; $Python -m lightyear_mainframe request-evidence-release --members $IntakeReviewFile $DifferenceReviewFile</w:t>
      </w:r>
    </w:p>
    <w:p>
      <w:pPr/>
      <w:r>
        <w:t xml:space="preserve">Open the request in </w:t>
      </w:r>
      <w:r>
        <w:rPr>
          <w:b/>
        </w:rPr>
        <w:t>Work queue</w:t>
      </w:r>
      <w:r>
        <w:t xml:space="preserve">. A distinct customer </w:t>
      </w:r>
      <w:r>
        <w:rPr>
          <w:rFonts w:ascii="Consolas" w:hAnsi="Consolas"/>
          <w:sz w:val="18"/>
        </w:rPr>
        <w:t>customer-sponsor</w:t>
      </w:r>
      <w:r>
        <w:t xml:space="preserve"> and Howard as </w:t>
      </w:r>
      <w:r>
        <w:rPr>
          <w:rFonts w:ascii="Consolas" w:hAnsi="Consolas"/>
          <w:sz w:val="18"/>
        </w:rPr>
        <w:t>campaign-authorizer</w:t>
      </w:r>
      <w:r>
        <w:t xml:space="preserve"> must each approve the exact bundle. One person cannot fill both slots. After both approvals the authenticated export endpoint </w:t>
      </w:r>
      <w:r>
        <w:rPr>
          <w:rFonts w:ascii="Consolas" w:hAnsi="Consolas"/>
          <w:sz w:val="18"/>
        </w:rPr>
        <w:t>GET /api/tower/export?id=&lt;request-id&gt;</w:t>
      </w:r>
      <w:r>
        <w:t xml:space="preserve"> supplies a signed no-values bundle. Save it locally and verify it before sharing:</w:t>
      </w:r>
    </w:p>
    <w:p>
      <w:r>
        <w:rPr>
          <w:rFonts w:ascii="Consolas" w:hAnsi="Consolas"/>
          <w:sz w:val="18"/>
        </w:rPr>
        <w:t>&amp; $Python -m lightyear_control_tower verify-export --archive $ExportFile --trusted-public-key $TowerPublicKey</w:t>
      </w:r>
    </w:p>
    <w:p>
      <w:pPr/>
      <w:r>
        <w:t>The bundle is not a raw archive release. Never upload arrival directories, originals, records, logs, private keys or candidate outputs. Before any commit:</w:t>
      </w:r>
    </w:p>
    <w:p>
      <w:r>
        <w:rPr>
          <w:rFonts w:ascii="Consolas" w:hAnsi="Consolas"/>
          <w:sz w:val="18"/>
        </w:rPr>
        <w:t>git check-ignore -- (Join-Path $Arrival 'manifest.json')</w:t>
        <w:br/>
        <w:t>git status --short -- work/mainframe/arrivals</w:t>
        <w:br/>
        <w:t>git diff --cached --name-only</w:t>
      </w:r>
    </w:p>
    <w:p>
      <w:pPr/>
      <w:r>
        <w:t>Expect ignored arrival data, no arrival status entries and only explicitly reviewed safe files staged. Signed evidence is not automatically safe to publish.</w:t>
      </w:r>
    </w:p>
    <w:p>
      <w:pPr>
        <w:pStyle w:val="Heading1"/>
      </w:pPr>
      <w:r>
        <w:t>8. Graph context and graph memory</w:t>
      </w:r>
    </w:p>
    <w:p>
      <w:pPr/>
      <w:r>
        <w:t xml:space="preserve">Verify graph context is limited to the approved </w:t>
      </w:r>
      <w:r>
        <w:rPr>
          <w:b/>
        </w:rPr>
        <w:t>public CardDemo reference</w:t>
      </w:r>
      <w:r>
        <w:t xml:space="preserve">. It is not an interface to Maintec files. Confidential mode redacts all literals; field mode requires the separate public-overlap review. Neither allows a protected-value leak. The graph review card lists required </w:t>
      </w:r>
      <w:r>
        <w:rPr>
          <w:rFonts w:ascii="Consolas" w:hAnsi="Consolas"/>
          <w:sz w:val="18"/>
        </w:rPr>
        <w:t>source-literal:&lt;hash&gt;</w:t>
      </w:r>
      <w:r>
        <w:t xml:space="preserve"> acknowledgments; approval without every exact token is refused. Acknowledge only after inspecting the public source. Tokens are evidence bindings, not a suggested business justification.</w:t>
      </w:r>
    </w:p>
    <w:p>
      <w:pPr/>
      <w:r>
        <w:t xml:space="preserve">Set the review date with enough margin for the entire session. On expiry the judge refuses submissions and graph tools disappear. A newly rejected decision requires distributing a fresh verified head/proof; an offline archived proof cannot detect later revocation automatically. Never edit signed records to refresh approval. See </w:t>
      </w:r>
      <w:hyperlink r:id="rId15">
        <w:r>
          <w:t>activation prerequisites</w:t>
        </w:r>
      </w:hyperlink>
      <w:r>
        <w:t>.</w:t>
      </w:r>
    </w:p>
    <w:p>
      <w:pPr/>
      <w:r/>
      <w:r>
        <w:rPr>
          <w:b/>
        </w:rPr>
        <w:t>Graph memory</w:t>
      </w:r>
      <w:r>
        <w:t xml:space="preserve"> contains separately reviewed annotations, not intake acceptance. An annotation or “verified” label cannot override a raw comparison or make private customer data eligible for a public projection. The optional toolkit currently has 16 tools when approved (six graph tools), versus the original ten when off. No model comparison or live model call is approved by a Tower graph decision.</w:t>
      </w:r>
    </w:p>
    <w:p>
      <w:pPr>
        <w:pStyle w:val="Heading1"/>
      </w:pPr>
      <w:r>
        <w:t>9. If something looks wrong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344"/>
      </w:tblGrid>
      <w:tr>
        <w:trPr>
          <w:cantSplit/>
          <w:tblHeader/>
        </w:trPr>
        <w:tc>
          <w:tcPr>
            <w:tcW w:type="dxa" w:w="2592"/>
            <w:vAlign w:val="center"/>
            <w:tcMar>
              <w:top w:w="90" w:type="dxa"/>
              <w:left w:w="90" w:type="dxa"/>
              <w:bottom w:w="90" w:type="dxa"/>
              <w:right w:w="90" w:type="dxa"/>
            </w:tcMar>
            <w:shd w:fill="E8EFF4"/>
          </w:tcPr>
          <w:p>
            <w:pPr>
              <w:spacing w:after="60"/>
            </w:pPr>
            <w:r>
              <w:rPr>
                <w:b/>
                <w:sz w:val="20"/>
              </w:rPr>
              <w:t>Symptom</w:t>
            </w:r>
          </w:p>
        </w:tc>
        <w:tc>
          <w:tcPr>
            <w:tcW w:type="dxa" w:w="7344"/>
            <w:vAlign w:val="center"/>
            <w:tcMar>
              <w:top w:w="90" w:type="dxa"/>
              <w:left w:w="90" w:type="dxa"/>
              <w:bottom w:w="90" w:type="dxa"/>
              <w:right w:w="90" w:type="dxa"/>
            </w:tcMar>
            <w:shd w:fill="E8EFF4"/>
          </w:tcPr>
          <w:p>
            <w:pPr>
              <w:spacing w:after="60"/>
            </w:pPr>
            <w:r>
              <w:rPr>
                <w:b/>
                <w:sz w:val="20"/>
              </w:rPr>
              <w:t>Check / next action</w:t>
            </w:r>
          </w:p>
        </w:tc>
      </w:tr>
      <w:tr>
        <w:trPr>
          <w:cantSplit/>
        </w:trPr>
        <w:tc>
          <w:tcPr>
            <w:tcW w:type="dxa" w:w="2592"/>
            <w:vAlign w:val="center"/>
            <w:tcMar>
              <w:top w:w="90" w:type="dxa"/>
              <w:left w:w="90" w:type="dxa"/>
              <w:bottom w:w="90" w:type="dxa"/>
              <w:right w:w="90" w:type="dxa"/>
            </w:tcMar>
            <w:shd w:fill="FFFFFF"/>
          </w:tcPr>
          <w:p>
            <w:pPr>
              <w:spacing w:after="60"/>
            </w:pPr>
            <w:r>
              <w:rPr>
                <w:sz w:val="20"/>
              </w:rPr>
              <w:t>Logged in, empty queue</w:t>
            </w:r>
          </w:p>
        </w:tc>
        <w:tc>
          <w:tcPr>
            <w:tcW w:type="dxa" w:w="7344"/>
            <w:vAlign w:val="center"/>
            <w:tcMar>
              <w:top w:w="90" w:type="dxa"/>
              <w:left w:w="90" w:type="dxa"/>
              <w:bottom w:w="90" w:type="dxa"/>
              <w:right w:w="90" w:type="dxa"/>
            </w:tcMar>
            <w:shd w:fill="FFFFFF"/>
          </w:tcPr>
          <w:p>
            <w:pPr>
              <w:spacing w:after="60"/>
            </w:pPr>
            <w:r>
              <w:rPr>
                <w:sz w:val="20"/>
              </w:rPr>
              <w:t>Confirm scope, root passed to serve, request folder, filter and role. B06 credentials do not authorize CardDemo.</w:t>
            </w:r>
          </w:p>
        </w:tc>
      </w:tr>
      <w:tr>
        <w:trPr>
          <w:cantSplit/>
        </w:trPr>
        <w:tc>
          <w:tcPr>
            <w:tcW w:type="dxa" w:w="2592"/>
            <w:vAlign w:val="center"/>
            <w:tcMar>
              <w:top w:w="90" w:type="dxa"/>
              <w:left w:w="90" w:type="dxa"/>
              <w:bottom w:w="90" w:type="dxa"/>
              <w:right w:w="90" w:type="dxa"/>
            </w:tcMar>
            <w:shd w:fill="FFFFFF"/>
          </w:tcPr>
          <w:p>
            <w:pPr>
              <w:spacing w:after="60"/>
            </w:pPr>
            <w:r>
              <w:rPr>
                <w:sz w:val="20"/>
              </w:rPr>
              <w:t>Invalid request</w:t>
            </w:r>
          </w:p>
        </w:tc>
        <w:tc>
          <w:tcPr>
            <w:tcW w:type="dxa" w:w="7344"/>
            <w:vAlign w:val="center"/>
            <w:tcMar>
              <w:top w:w="90" w:type="dxa"/>
              <w:left w:w="90" w:type="dxa"/>
              <w:bottom w:w="90" w:type="dxa"/>
              <w:right w:w="90" w:type="dxa"/>
            </w:tcMar>
            <w:shd w:fill="FFFFFF"/>
          </w:tcPr>
          <w:p>
            <w:pPr>
              <w:spacing w:after="60"/>
            </w:pPr>
            <w:r>
              <w:rPr>
                <w:sz w:val="20"/>
              </w:rPr>
              <w:t>Preserve it. Inspect bound hashes and the service account's read access to the exact public review files. Do not broaden parent-folder ACLs or bypass path checks.</w:t>
            </w:r>
          </w:p>
        </w:tc>
      </w:tr>
      <w:tr>
        <w:trPr>
          <w:cantSplit/>
        </w:trPr>
        <w:tc>
          <w:tcPr>
            <w:tcW w:type="dxa" w:w="2592"/>
            <w:vAlign w:val="center"/>
            <w:tcMar>
              <w:top w:w="90" w:type="dxa"/>
              <w:left w:w="90" w:type="dxa"/>
              <w:bottom w:w="90" w:type="dxa"/>
              <w:right w:w="90" w:type="dxa"/>
            </w:tcMar>
            <w:shd w:fill="FFFFFF"/>
          </w:tcPr>
          <w:p>
            <w:pPr>
              <w:spacing w:after="60"/>
            </w:pPr>
            <w:r>
              <w:rPr>
                <w:sz w:val="20"/>
              </w:rPr>
              <w:t>Read-only card</w:t>
            </w:r>
          </w:p>
        </w:tc>
        <w:tc>
          <w:tcPr>
            <w:tcW w:type="dxa" w:w="7344"/>
            <w:vAlign w:val="center"/>
            <w:tcMar>
              <w:top w:w="90" w:type="dxa"/>
              <w:left w:w="90" w:type="dxa"/>
              <w:bottom w:w="90" w:type="dxa"/>
              <w:right w:w="90" w:type="dxa"/>
            </w:tcMar>
            <w:shd w:fill="FFFFFF"/>
          </w:tcPr>
          <w:p>
            <w:pPr>
              <w:spacing w:after="60"/>
            </w:pPr>
            <w:r>
              <w:rPr>
                <w:sz w:val="20"/>
              </w:rPr>
              <w:t>Check the required role and authenticated agent proposal. An agent never gets approving roles.</w:t>
            </w:r>
          </w:p>
        </w:tc>
      </w:tr>
      <w:tr>
        <w:trPr>
          <w:cantSplit/>
        </w:trPr>
        <w:tc>
          <w:tcPr>
            <w:tcW w:type="dxa" w:w="2592"/>
            <w:vAlign w:val="center"/>
            <w:tcMar>
              <w:top w:w="90" w:type="dxa"/>
              <w:left w:w="90" w:type="dxa"/>
              <w:bottom w:w="90" w:type="dxa"/>
              <w:right w:w="90" w:type="dxa"/>
            </w:tcMar>
            <w:shd w:fill="FFFFFF"/>
          </w:tcPr>
          <w:p>
            <w:pPr>
              <w:spacing w:after="60"/>
            </w:pPr>
            <w:r>
              <w:rPr>
                <w:sz w:val="20"/>
              </w:rPr>
              <w:t>Stale decision conflict</w:t>
            </w:r>
          </w:p>
        </w:tc>
        <w:tc>
          <w:tcPr>
            <w:tcW w:type="dxa" w:w="7344"/>
            <w:vAlign w:val="center"/>
            <w:tcMar>
              <w:top w:w="90" w:type="dxa"/>
              <w:left w:w="90" w:type="dxa"/>
              <w:bottom w:w="90" w:type="dxa"/>
              <w:right w:w="90" w:type="dxa"/>
            </w:tcMar>
            <w:shd w:fill="FFFFFF"/>
          </w:tcPr>
          <w:p>
            <w:pPr>
              <w:spacing w:after="60"/>
            </w:pPr>
            <w:r>
              <w:rPr>
                <w:sz w:val="20"/>
              </w:rPr>
              <w:t>Refresh and reopen the item; reassess changed evidence. Do not replay a stale POST.</w:t>
            </w:r>
          </w:p>
        </w:tc>
      </w:tr>
      <w:tr>
        <w:trPr>
          <w:cantSplit/>
        </w:trPr>
        <w:tc>
          <w:tcPr>
            <w:tcW w:type="dxa" w:w="2592"/>
            <w:vAlign w:val="center"/>
            <w:tcMar>
              <w:top w:w="90" w:type="dxa"/>
              <w:left w:w="90" w:type="dxa"/>
              <w:bottom w:w="90" w:type="dxa"/>
              <w:right w:w="90" w:type="dxa"/>
            </w:tcMar>
            <w:shd w:fill="FFFFFF"/>
          </w:tcPr>
          <w:p>
            <w:pPr>
              <w:spacing w:after="60"/>
            </w:pPr>
            <w:r>
              <w:rPr>
                <w:sz w:val="20"/>
              </w:rPr>
              <w:t>Three repeated decisions</w:t>
            </w:r>
          </w:p>
        </w:tc>
        <w:tc>
          <w:tcPr>
            <w:tcW w:type="dxa" w:w="7344"/>
            <w:vAlign w:val="center"/>
            <w:tcMar>
              <w:top w:w="90" w:type="dxa"/>
              <w:left w:w="90" w:type="dxa"/>
              <w:bottom w:w="90" w:type="dxa"/>
              <w:right w:w="90" w:type="dxa"/>
            </w:tcMar>
            <w:shd w:fill="FFFFFF"/>
          </w:tcPr>
          <w:p>
            <w:pPr>
              <w:spacing w:after="60"/>
            </w:pPr>
            <w:r>
              <w:rPr>
                <w:sz w:val="20"/>
              </w:rPr>
              <w:t>Inspect Decision history: repeated decisions for one subject are not three separately authorized runs. Latest applicable signed decision governs.</w:t>
            </w:r>
          </w:p>
        </w:tc>
      </w:tr>
      <w:tr>
        <w:trPr>
          <w:cantSplit/>
        </w:trPr>
        <w:tc>
          <w:tcPr>
            <w:tcW w:type="dxa" w:w="2592"/>
            <w:vAlign w:val="center"/>
            <w:tcMar>
              <w:top w:w="90" w:type="dxa"/>
              <w:left w:w="90" w:type="dxa"/>
              <w:bottom w:w="90" w:type="dxa"/>
              <w:right w:w="90" w:type="dxa"/>
            </w:tcMar>
            <w:shd w:fill="FFFFFF"/>
          </w:tcPr>
          <w:p>
            <w:pPr>
              <w:spacing w:after="60"/>
            </w:pPr>
            <w:r>
              <w:rPr>
                <w:sz w:val="20"/>
              </w:rPr>
              <w:t>No graph tools</w:t>
            </w:r>
          </w:p>
        </w:tc>
        <w:tc>
          <w:tcPr>
            <w:tcW w:type="dxa" w:w="7344"/>
            <w:vAlign w:val="center"/>
            <w:tcMar>
              <w:top w:w="90" w:type="dxa"/>
              <w:left w:w="90" w:type="dxa"/>
              <w:bottom w:w="90" w:type="dxa"/>
              <w:right w:w="90" w:type="dxa"/>
            </w:tcMar>
            <w:shd w:fill="FFFFFF"/>
          </w:tcPr>
          <w:p>
            <w:pPr>
              <w:spacing w:after="60"/>
            </w:pPr>
            <w:r>
              <w:rPr>
                <w:sz w:val="20"/>
              </w:rPr>
              <w:t>Pending/rejected/expired approval, missing trust or hash mismatch means baseline tools only. Do not bypass the gate.</w:t>
            </w:r>
          </w:p>
        </w:tc>
      </w:tr>
      <w:tr>
        <w:trPr>
          <w:cantSplit/>
        </w:trPr>
        <w:tc>
          <w:tcPr>
            <w:tcW w:type="dxa" w:w="2592"/>
            <w:vAlign w:val="center"/>
            <w:tcMar>
              <w:top w:w="90" w:type="dxa"/>
              <w:left w:w="90" w:type="dxa"/>
              <w:bottom w:w="90" w:type="dxa"/>
              <w:right w:w="90" w:type="dxa"/>
            </w:tcMar>
            <w:shd w:fill="FFFFFF"/>
          </w:tcPr>
          <w:p>
            <w:pPr>
              <w:spacing w:after="60"/>
            </w:pPr>
            <w:r>
              <w:rPr>
                <w:sz w:val="20"/>
              </w:rPr>
              <w:t>Different/unknown dataset format</w:t>
            </w:r>
          </w:p>
        </w:tc>
        <w:tc>
          <w:tcPr>
            <w:tcW w:type="dxa" w:w="7344"/>
            <w:vAlign w:val="center"/>
            <w:tcMar>
              <w:top w:w="90" w:type="dxa"/>
              <w:left w:w="90" w:type="dxa"/>
              <w:bottom w:w="90" w:type="dxa"/>
              <w:right w:w="90" w:type="dxa"/>
            </w:tcMar>
            <w:shd w:fill="FFFFFF"/>
          </w:tcPr>
          <w:p>
            <w:pPr>
              <w:spacing w:after="60"/>
            </w:pPr>
            <w:r>
              <w:rPr>
                <w:sz w:val="20"/>
              </w:rPr>
              <w:t>Request a corrected delivery; preserve the original.</w:t>
            </w:r>
          </w:p>
        </w:tc>
      </w:tr>
      <w:tr>
        <w:trPr>
          <w:cantSplit/>
        </w:trPr>
        <w:tc>
          <w:tcPr>
            <w:tcW w:type="dxa" w:w="2592"/>
            <w:vAlign w:val="center"/>
            <w:tcMar>
              <w:top w:w="90" w:type="dxa"/>
              <w:left w:w="90" w:type="dxa"/>
              <w:bottom w:w="90" w:type="dxa"/>
              <w:right w:w="90" w:type="dxa"/>
            </w:tcMar>
            <w:shd w:fill="FFFFFF"/>
          </w:tcPr>
          <w:p>
            <w:pPr>
              <w:spacing w:after="60"/>
            </w:pPr>
            <w:r>
              <w:rPr>
                <w:sz w:val="20"/>
              </w:rPr>
              <w:t>Equivalence changed after rule review</w:t>
            </w:r>
          </w:p>
        </w:tc>
        <w:tc>
          <w:tcPr>
            <w:tcW w:type="dxa" w:w="7344"/>
            <w:vAlign w:val="center"/>
            <w:tcMar>
              <w:top w:w="90" w:type="dxa"/>
              <w:left w:w="90" w:type="dxa"/>
              <w:bottom w:w="90" w:type="dxa"/>
              <w:right w:w="90" w:type="dxa"/>
            </w:tcMar>
            <w:shd w:fill="FFFFFF"/>
          </w:tcPr>
          <w:p>
            <w:pPr>
              <w:spacing w:after="60"/>
            </w:pPr>
            <w:r>
              <w:rPr>
                <w:sz w:val="20"/>
              </w:rPr>
              <w:t>Preserve both outcomes and explain distinct run/rule bindings; never rewrite history.</w:t>
            </w:r>
          </w:p>
        </w:tc>
      </w:tr>
      <w:tr>
        <w:trPr>
          <w:cantSplit/>
        </w:trPr>
        <w:tc>
          <w:tcPr>
            <w:tcW w:type="dxa" w:w="2592"/>
            <w:vAlign w:val="center"/>
            <w:tcMar>
              <w:top w:w="90" w:type="dxa"/>
              <w:left w:w="90" w:type="dxa"/>
              <w:bottom w:w="90" w:type="dxa"/>
              <w:right w:w="90" w:type="dxa"/>
            </w:tcMar>
            <w:shd w:fill="FFFFFF"/>
          </w:tcPr>
          <w:p>
            <w:pPr>
              <w:spacing w:after="60"/>
            </w:pPr>
            <w:r>
              <w:rPr>
                <w:sz w:val="20"/>
              </w:rPr>
              <w:t>Programs page shows "pending" after you approved something</w:t>
            </w:r>
          </w:p>
        </w:tc>
        <w:tc>
          <w:tcPr>
            <w:tcW w:type="dxa" w:w="7344"/>
            <w:vAlign w:val="center"/>
            <w:tcMar>
              <w:top w:w="90" w:type="dxa"/>
              <w:left w:w="90" w:type="dxa"/>
              <w:bottom w:w="90" w:type="dxa"/>
              <w:right w:w="90" w:type="dxa"/>
            </w:tcMar>
            <w:shd w:fill="FFFFFF"/>
          </w:tcPr>
          <w:p>
            <w:pPr>
              <w:spacing w:after="60"/>
            </w:pPr>
            <w:r>
              <w:rPr>
                <w:sz w:val="20"/>
              </w:rPr>
              <w:t>Check Decision history for the signed event. The page reads signed decisions and the latest receipts only; a decision given in chat does not count.</w:t>
            </w:r>
          </w:p>
        </w:tc>
      </w:tr>
      <w:tr>
        <w:trPr>
          <w:cantSplit/>
        </w:trPr>
        <w:tc>
          <w:tcPr>
            <w:tcW w:type="dxa" w:w="2592"/>
            <w:vAlign w:val="center"/>
            <w:tcMar>
              <w:top w:w="90" w:type="dxa"/>
              <w:left w:w="90" w:type="dxa"/>
              <w:bottom w:w="90" w:type="dxa"/>
              <w:right w:w="90" w:type="dxa"/>
            </w:tcMar>
            <w:shd w:fill="FFFFFF"/>
          </w:tcPr>
          <w:p>
            <w:pPr>
              <w:spacing w:after="60"/>
            </w:pPr>
            <w:r>
              <w:rPr>
                <w:sz w:val="20"/>
              </w:rPr>
              <w:t>Equivalence arguments marked "invalidated"</w:t>
            </w:r>
          </w:p>
        </w:tc>
        <w:tc>
          <w:tcPr>
            <w:tcW w:type="dxa" w:w="7344"/>
            <w:vAlign w:val="center"/>
            <w:tcMar>
              <w:top w:w="90" w:type="dxa"/>
              <w:left w:w="90" w:type="dxa"/>
              <w:bottom w:w="90" w:type="dxa"/>
              <w:right w:w="90" w:type="dxa"/>
            </w:tcMar>
            <w:shd w:fill="FFFFFF"/>
          </w:tcPr>
          <w:p>
            <w:pPr>
              <w:spacing w:after="60"/>
            </w:pPr>
            <w:r>
              <w:rPr>
                <w:sz w:val="20"/>
              </w:rPr>
              <w:t>A keep-or-fix decision they depend on changed (section 12). Re-disposition them; the threshold check refuses until you do.</w:t>
            </w:r>
          </w:p>
        </w:tc>
      </w:tr>
      <w:tr>
        <w:trPr>
          <w:cantSplit/>
        </w:trPr>
        <w:tc>
          <w:tcPr>
            <w:tcW w:type="dxa" w:w="2592"/>
            <w:vAlign w:val="center"/>
            <w:tcMar>
              <w:top w:w="90" w:type="dxa"/>
              <w:left w:w="90" w:type="dxa"/>
              <w:bottom w:w="90" w:type="dxa"/>
              <w:right w:w="90" w:type="dxa"/>
            </w:tcMar>
            <w:shd w:fill="FFFFFF"/>
          </w:tcPr>
          <w:p>
            <w:pPr>
              <w:spacing w:after="60"/>
            </w:pPr>
            <w:r>
              <w:rPr>
                <w:sz w:val="20"/>
              </w:rPr>
              <w:t>Model-spend request refused at dispatch</w:t>
            </w:r>
          </w:p>
        </w:tc>
        <w:tc>
          <w:tcPr>
            <w:tcW w:type="dxa" w:w="7344"/>
            <w:vAlign w:val="center"/>
            <w:tcMar>
              <w:top w:w="90" w:type="dxa"/>
              <w:left w:w="90" w:type="dxa"/>
              <w:bottom w:w="90" w:type="dxa"/>
              <w:right w:w="90" w:type="dxa"/>
            </w:tcMar>
            <w:shd w:fill="FFFFFF"/>
          </w:tcPr>
          <w:p>
            <w:pPr>
              <w:spacing w:after="60"/>
            </w:pPr>
            <w:r>
              <w:rPr>
                <w:sz w:val="20"/>
              </w:rPr>
              <w:t>The plan hash in the request must equal the hash you approved. Any amendment is a new request.</w:t>
            </w:r>
          </w:p>
        </w:tc>
      </w:tr>
      <w:tr>
        <w:trPr>
          <w:cantSplit/>
        </w:trPr>
        <w:tc>
          <w:tcPr>
            <w:tcW w:type="dxa" w:w="2592"/>
            <w:vAlign w:val="center"/>
            <w:tcMar>
              <w:top w:w="90" w:type="dxa"/>
              <w:left w:w="90" w:type="dxa"/>
              <w:bottom w:w="90" w:type="dxa"/>
              <w:right w:w="90" w:type="dxa"/>
            </w:tcMar>
            <w:shd w:fill="FFFFFF"/>
          </w:tcPr>
          <w:p>
            <w:pPr>
              <w:spacing w:after="60"/>
            </w:pPr>
            <w:r>
              <w:rPr>
                <w:sz w:val="20"/>
              </w:rPr>
              <w:t>Factory tab empty</w:t>
            </w:r>
          </w:p>
        </w:tc>
        <w:tc>
          <w:tcPr>
            <w:tcW w:type="dxa" w:w="7344"/>
            <w:vAlign w:val="center"/>
            <w:tcMar>
              <w:top w:w="90" w:type="dxa"/>
              <w:left w:w="90" w:type="dxa"/>
              <w:bottom w:w="90" w:type="dxa"/>
              <w:right w:w="90" w:type="dxa"/>
            </w:tcMar>
            <w:shd w:fill="FFFFFF"/>
          </w:tcPr>
          <w:p>
            <w:pPr>
              <w:spacing w:after="60"/>
            </w:pPr>
            <w:r>
              <w:rPr>
                <w:sz w:val="20"/>
              </w:rPr>
              <w:t xml:space="preserve">You are in the CardDemo intake or B06 scope. Factory evidence lives only in the </w:t>
            </w:r>
            <w:r>
              <w:rPr>
                <w:rFonts w:ascii="Consolas" w:hAnsi="Consolas"/>
                <w:sz w:val="20"/>
              </w:rPr>
              <w:t>factory</w:t>
            </w:r>
            <w:r>
              <w:rPr>
                <w:sz w:val="20"/>
              </w:rPr>
              <w:t xml:space="preserve"> scope.</w:t>
            </w:r>
          </w:p>
        </w:tc>
      </w:tr>
    </w:tbl>
    <w:p/>
    <w:p>
      <w:pPr>
        <w:pStyle w:val="Heading1"/>
      </w:pPr>
      <w:r>
        <w:t>10. Factory scope: open it and find your way</w:t>
      </w:r>
    </w:p>
    <w:p>
      <w:pPr/>
      <w:r>
        <w:t>The Factory scope shows the public development evidence the factory produces for each converted program, and records the decisions that govern it. It uses only public CardDemo sources, public data and generated scenarios. It never shows Maintec arrivals or customer values; those stay in the CardDemo intake scope.</w:t>
      </w:r>
    </w:p>
    <w:p>
      <w:r>
        <w:rPr>
          <w:rFonts w:ascii="Consolas" w:hAnsi="Consolas"/>
          <w:sz w:val="18"/>
        </w:rPr>
        <w:t>&amp; $Python -m lightyear_control_tower serve --root $FactoryRoot --authority $FactoryAuthority --port 8768</w:t>
      </w:r>
    </w:p>
    <w:p>
      <w:pPr/>
      <w:r>
        <w:t>Use the Factory data root and authority provisioned for it, never the intake or B06 root. Sign in with your individual credential. The Factory tabs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344"/>
      </w:tblGrid>
      <w:tr>
        <w:trPr>
          <w:cantSplit/>
          <w:tblHeader/>
        </w:trPr>
        <w:tc>
          <w:tcPr>
            <w:tcW w:type="dxa" w:w="2592"/>
            <w:vAlign w:val="center"/>
            <w:tcMar>
              <w:top w:w="90" w:type="dxa"/>
              <w:left w:w="90" w:type="dxa"/>
              <w:bottom w:w="90" w:type="dxa"/>
              <w:right w:w="90" w:type="dxa"/>
            </w:tcMar>
            <w:shd w:fill="E8EFF4"/>
          </w:tcPr>
          <w:p>
            <w:pPr>
              <w:spacing w:after="60"/>
            </w:pPr>
            <w:r>
              <w:rPr>
                <w:b/>
                <w:sz w:val="20"/>
              </w:rPr>
              <w:t>Tab</w:t>
            </w:r>
          </w:p>
        </w:tc>
        <w:tc>
          <w:tcPr>
            <w:tcW w:type="dxa" w:w="7344"/>
            <w:vAlign w:val="center"/>
            <w:tcMar>
              <w:top w:w="90" w:type="dxa"/>
              <w:left w:w="90" w:type="dxa"/>
              <w:bottom w:w="90" w:type="dxa"/>
              <w:right w:w="90" w:type="dxa"/>
            </w:tcMar>
            <w:shd w:fill="E8EFF4"/>
          </w:tcPr>
          <w:p>
            <w:pPr>
              <w:spacing w:after="60"/>
            </w:pPr>
            <w:r>
              <w:rPr>
                <w:b/>
                <w:sz w:val="20"/>
              </w:rPr>
              <w:t>What it is for</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Programs</w:t>
            </w:r>
            <w:r>
              <w:rPr>
                <w:sz w:val="20"/>
              </w:rPr>
            </w:r>
          </w:p>
        </w:tc>
        <w:tc>
          <w:tcPr>
            <w:tcW w:type="dxa" w:w="7344"/>
            <w:vAlign w:val="center"/>
            <w:tcMar>
              <w:top w:w="90" w:type="dxa"/>
              <w:left w:w="90" w:type="dxa"/>
              <w:bottom w:w="90" w:type="dxa"/>
              <w:right w:w="90" w:type="dxa"/>
            </w:tcMar>
            <w:shd w:fill="FFFFFF"/>
          </w:tcPr>
          <w:p>
            <w:pPr>
              <w:spacing w:after="60"/>
            </w:pPr>
            <w:r>
              <w:rPr>
                <w:sz w:val="20"/>
              </w:rPr>
              <w:t>One page per converted program: is it releasable, and why (section 11)</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Status</w:t>
            </w:r>
            <w:r>
              <w:rPr>
                <w:sz w:val="20"/>
              </w:rPr>
            </w:r>
          </w:p>
        </w:tc>
        <w:tc>
          <w:tcPr>
            <w:tcW w:type="dxa" w:w="7344"/>
            <w:vAlign w:val="center"/>
            <w:tcMar>
              <w:top w:w="90" w:type="dxa"/>
              <w:left w:w="90" w:type="dxa"/>
              <w:bottom w:w="90" w:type="dxa"/>
              <w:right w:w="90" w:type="dxa"/>
            </w:tcMar>
            <w:shd w:fill="FFFFFF"/>
          </w:tcPr>
          <w:p>
            <w:pPr>
              <w:spacing w:after="60"/>
            </w:pPr>
            <w:r>
              <w:rPr>
                <w:sz w:val="20"/>
              </w:rPr>
              <w:t>Generated current status across programs, campaigns and pending decisions; replaces reading milestones</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Unresolved</w:t>
            </w:r>
            <w:r>
              <w:rPr>
                <w:sz w:val="20"/>
              </w:rPr>
            </w:r>
          </w:p>
        </w:tc>
        <w:tc>
          <w:tcPr>
            <w:tcW w:type="dxa" w:w="7344"/>
            <w:vAlign w:val="center"/>
            <w:tcMar>
              <w:top w:w="90" w:type="dxa"/>
              <w:left w:w="90" w:type="dxa"/>
              <w:bottom w:w="90" w:type="dxa"/>
              <w:right w:w="90" w:type="dxa"/>
            </w:tcMar>
            <w:shd w:fill="FFFFFF"/>
          </w:tcPr>
          <w:p>
            <w:pPr>
              <w:spacing w:after="60"/>
            </w:pPr>
            <w:r>
              <w:rPr>
                <w:sz w:val="20"/>
              </w:rPr>
              <w:t>Every open difference, unresolved twin limit, unexplained survivor and pending review, across programs</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Work queue</w:t>
            </w:r>
            <w:r>
              <w:rPr>
                <w:sz w:val="20"/>
              </w:rPr>
            </w:r>
          </w:p>
        </w:tc>
        <w:tc>
          <w:tcPr>
            <w:tcW w:type="dxa" w:w="7344"/>
            <w:vAlign w:val="center"/>
            <w:tcMar>
              <w:top w:w="90" w:type="dxa"/>
              <w:left w:w="90" w:type="dxa"/>
              <w:bottom w:w="90" w:type="dxa"/>
              <w:right w:w="90" w:type="dxa"/>
            </w:tcMar>
            <w:shd w:fill="FFFFFF"/>
          </w:tcPr>
          <w:p>
            <w:pPr>
              <w:spacing w:after="60"/>
            </w:pPr>
            <w:r>
              <w:rPr>
                <w:sz w:val="20"/>
              </w:rPr>
              <w:t>Factory decisions waiting on you (section 12)</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Business rules</w:t>
            </w:r>
            <w:r>
              <w:rPr>
                <w:sz w:val="20"/>
              </w:rPr>
            </w:r>
          </w:p>
        </w:tc>
        <w:tc>
          <w:tcPr>
            <w:tcW w:type="dxa" w:w="7344"/>
            <w:vAlign w:val="center"/>
            <w:tcMar>
              <w:top w:w="90" w:type="dxa"/>
              <w:left w:w="90" w:type="dxa"/>
              <w:bottom w:w="90" w:type="dxa"/>
              <w:right w:w="90" w:type="dxa"/>
            </w:tcMar>
            <w:shd w:fill="FFFFFF"/>
          </w:tcPr>
          <w:p>
            <w:pPr>
              <w:spacing w:after="60"/>
            </w:pPr>
            <w:r>
              <w:rPr>
                <w:sz w:val="20"/>
              </w:rPr>
              <w:t>Rules with evidence strength and scenario adequacy</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Decision history</w:t>
            </w:r>
            <w:r>
              <w:rPr>
                <w:sz w:val="20"/>
              </w:rPr>
            </w:r>
          </w:p>
        </w:tc>
        <w:tc>
          <w:tcPr>
            <w:tcW w:type="dxa" w:w="7344"/>
            <w:vAlign w:val="center"/>
            <w:tcMar>
              <w:top w:w="90" w:type="dxa"/>
              <w:left w:w="90" w:type="dxa"/>
              <w:bottom w:w="90" w:type="dxa"/>
              <w:right w:w="90" w:type="dxa"/>
            </w:tcMar>
            <w:shd w:fill="FFFFFF"/>
          </w:tcPr>
          <w:p>
            <w:pPr>
              <w:spacing w:after="60"/>
            </w:pPr>
            <w:r>
              <w:rPr>
                <w:sz w:val="20"/>
              </w:rPr>
              <w:t>Every signed Factory decision, including the October backfill</w:t>
            </w:r>
          </w:p>
        </w:tc>
      </w:tr>
    </w:tbl>
    <w:p/>
    <w:p>
      <w:pPr>
        <w:pStyle w:val="Heading1"/>
      </w:pPr>
      <w:r>
        <w:t>11. Programs: read a program's evidence</w:t>
      </w:r>
    </w:p>
    <w:p>
      <w:pPr/>
      <w:r>
        <w:t xml:space="preserve">Select </w:t>
      </w:r>
      <w:r>
        <w:rPr>
          <w:b/>
        </w:rPr>
        <w:t>Programs</w:t>
      </w:r>
      <w:r>
        <w:t xml:space="preserve">, then a program, for example POSTTRAN (CBTRN02C). The page header distinguishes the experiment head from the imported evidence commit. Source hashes and compiler scope appear in evidence panels. The banner states </w:t>
      </w:r>
      <w:r>
        <w:rPr>
          <w:b/>
        </w:rPr>
        <w:t>Not releasable</w:t>
      </w:r>
      <w:r>
        <w:t xml:space="preserve"> for the current provisional programs; the checklist lists each criterion as met, pending, failed or not reported. A pending decision is not a measured failure, and a passing rate is not release approval.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344"/>
      </w:tblGrid>
      <w:tr>
        <w:trPr>
          <w:cantSplit/>
          <w:tblHeader/>
        </w:trPr>
        <w:tc>
          <w:tcPr>
            <w:tcW w:type="dxa" w:w="2592"/>
            <w:vAlign w:val="center"/>
            <w:tcMar>
              <w:top w:w="90" w:type="dxa"/>
              <w:left w:w="90" w:type="dxa"/>
              <w:bottom w:w="90" w:type="dxa"/>
              <w:right w:w="90" w:type="dxa"/>
            </w:tcMar>
            <w:shd w:fill="E8EFF4"/>
          </w:tcPr>
          <w:p>
            <w:pPr>
              <w:spacing w:after="60"/>
            </w:pPr>
            <w:r>
              <w:rPr>
                <w:b/>
                <w:sz w:val="20"/>
              </w:rPr>
              <w:t>Panel</w:t>
            </w:r>
          </w:p>
        </w:tc>
        <w:tc>
          <w:tcPr>
            <w:tcW w:type="dxa" w:w="7344"/>
            <w:vAlign w:val="center"/>
            <w:tcMar>
              <w:top w:w="90" w:type="dxa"/>
              <w:left w:w="90" w:type="dxa"/>
              <w:bottom w:w="90" w:type="dxa"/>
              <w:right w:w="90" w:type="dxa"/>
            </w:tcMar>
            <w:shd w:fill="E8EFF4"/>
          </w:tcPr>
          <w:p>
            <w:pPr>
              <w:spacing w:after="60"/>
            </w:pPr>
            <w:r>
              <w:rPr>
                <w:b/>
                <w:sz w:val="20"/>
              </w:rPr>
              <w:t>What to check</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Releasability checklist</w:t>
            </w:r>
            <w:r>
              <w:rPr>
                <w:sz w:val="20"/>
              </w:rPr>
            </w:r>
          </w:p>
        </w:tc>
        <w:tc>
          <w:tcPr>
            <w:tcW w:type="dxa" w:w="7344"/>
            <w:vAlign w:val="center"/>
            <w:tcMar>
              <w:top w:w="90" w:type="dxa"/>
              <w:left w:w="90" w:type="dxa"/>
              <w:bottom w:w="90" w:type="dxa"/>
              <w:right w:w="90" w:type="dxa"/>
            </w:tcMar>
            <w:shd w:fill="FFFFFF"/>
          </w:tcPr>
          <w:p>
            <w:pPr>
              <w:spacing w:after="60"/>
            </w:pPr>
            <w:r>
              <w:rPr>
                <w:sz w:val="20"/>
              </w:rPr>
              <w:t>Each threshold criterion with its measured value. Expand the source links to inspect the display policy and signed overlays. The historical CI policy is not an effective Factory approval.</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Scenarios</w:t>
            </w:r>
            <w:r>
              <w:rPr>
                <w:sz w:val="20"/>
              </w:rPr>
            </w:r>
          </w:p>
        </w:tc>
        <w:tc>
          <w:tcPr>
            <w:tcW w:type="dxa" w:w="7344"/>
            <w:vAlign w:val="center"/>
            <w:tcMar>
              <w:top w:w="90" w:type="dxa"/>
              <w:left w:w="90" w:type="dxa"/>
              <w:bottom w:w="90" w:type="dxa"/>
              <w:right w:w="90" w:type="dxa"/>
            </w:tcMar>
            <w:shd w:fill="FFFFFF"/>
          </w:tcPr>
          <w:p>
            <w:pPr>
              <w:spacing w:after="60"/>
            </w:pPr>
            <w:r>
              <w:rPr>
                <w:sz w:val="20"/>
              </w:rPr>
              <w:t>Business-logic and I/O-handling coverage, separately; outcomes added by fault injection; accepted exceptions; listed gaps with reasons</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Mutation</w:t>
            </w:r>
            <w:r>
              <w:rPr>
                <w:sz w:val="20"/>
              </w:rPr>
            </w:r>
          </w:p>
        </w:tc>
        <w:tc>
          <w:tcPr>
            <w:tcW w:type="dxa" w:w="7344"/>
            <w:vAlign w:val="center"/>
            <w:tcMar>
              <w:top w:w="90" w:type="dxa"/>
              <w:left w:w="90" w:type="dxa"/>
              <w:bottom w:w="90" w:type="dxa"/>
              <w:right w:w="90" w:type="dxa"/>
            </w:tcMar>
            <w:shd w:fill="FFFFFF"/>
          </w:tcPr>
          <w:p>
            <w:pPr>
              <w:spacing w:after="60"/>
            </w:pPr>
            <w:r>
              <w:rPr>
                <w:sz w:val="20"/>
              </w:rPr>
              <w:t>Raw kills (failure and divergent), argued equivalents grouped by class, survivors, compiler refusals; each class shows how it is resolved: compiler-proven, class proof or individual review</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Answer key</w:t>
            </w:r>
            <w:r>
              <w:rPr>
                <w:sz w:val="20"/>
              </w:rPr>
            </w:r>
          </w:p>
        </w:tc>
        <w:tc>
          <w:tcPr>
            <w:tcW w:type="dxa" w:w="7344"/>
            <w:vAlign w:val="center"/>
            <w:tcMar>
              <w:top w:w="90" w:type="dxa"/>
              <w:left w:w="90" w:type="dxa"/>
              <w:bottom w:w="90" w:type="dxa"/>
              <w:right w:w="90" w:type="dxa"/>
            </w:tcMar>
            <w:shd w:fill="FFFFFF"/>
          </w:tcPr>
          <w:p>
            <w:pPr>
              <w:spacing w:after="60"/>
            </w:pPr>
            <w:r>
              <w:rPr>
                <w:sz w:val="20"/>
              </w:rPr>
            </w:r>
            <w:r>
              <w:rPr>
                <w:rFonts w:ascii="Consolas" w:hAnsi="Consolas"/>
                <w:sz w:val="20"/>
              </w:rPr>
              <w:t>oracle_class</w:t>
            </w:r>
            <w:r>
              <w:rPr>
                <w:sz w:val="20"/>
              </w:rPr>
              <w:t xml:space="preserve"> (for example </w:t>
            </w:r>
            <w:r>
              <w:rPr>
                <w:rFonts w:ascii="Consolas" w:hAnsi="Consolas"/>
                <w:sz w:val="20"/>
              </w:rPr>
              <w:t>executable-twin (provisional)</w:t>
            </w:r>
            <w:r>
              <w:rPr>
                <w:sz w:val="20"/>
              </w:rPr>
              <w:t>), z/OS confirmation, and the twin limits that apply to this program</w:t>
            </w:r>
          </w:p>
        </w:tc>
      </w:tr>
      <w:tr>
        <w:trPr>
          <w:cantSplit/>
        </w:trPr>
        <w:tc>
          <w:tcPr>
            <w:tcW w:type="dxa" w:w="2592"/>
            <w:vAlign w:val="center"/>
            <w:tcMar>
              <w:top w:w="90" w:type="dxa"/>
              <w:left w:w="90" w:type="dxa"/>
              <w:bottom w:w="90" w:type="dxa"/>
              <w:right w:w="90" w:type="dxa"/>
            </w:tcMar>
            <w:shd w:fill="FFFFFF"/>
          </w:tcPr>
          <w:p>
            <w:pPr>
              <w:spacing w:after="60"/>
            </w:pPr>
            <w:r>
              <w:rPr>
                <w:sz w:val="20"/>
              </w:rPr>
            </w:r>
            <w:r>
              <w:rPr>
                <w:b/>
                <w:sz w:val="20"/>
              </w:rPr>
              <w:t>Keep or fix</w:t>
            </w:r>
            <w:r>
              <w:rPr>
                <w:sz w:val="20"/>
              </w:rPr>
            </w:r>
          </w:p>
        </w:tc>
        <w:tc>
          <w:tcPr>
            <w:tcW w:type="dxa" w:w="7344"/>
            <w:vAlign w:val="center"/>
            <w:tcMar>
              <w:top w:w="90" w:type="dxa"/>
              <w:left w:w="90" w:type="dxa"/>
              <w:bottom w:w="90" w:type="dxa"/>
              <w:right w:w="90" w:type="dxa"/>
            </w:tcMar>
            <w:shd w:fill="FFFFFF"/>
          </w:tcPr>
          <w:p>
            <w:pPr>
              <w:spacing w:after="60"/>
            </w:pPr>
            <w:r>
              <w:rPr>
                <w:sz w:val="20"/>
              </w:rPr>
              <w:t>Legacy behaviours the conversion must reproduce, with your decision and any equivalence arguments that depend on it</w:t>
            </w:r>
          </w:p>
        </w:tc>
      </w:tr>
    </w:tbl>
    <w:p/>
    <w:p>
      <w:pPr/>
      <w:r>
        <w:t xml:space="preserve">Raw figures are always shown beside figures after exclusions. A percentage is never shown without its denominator. Nothing on this page changes evidence; decisions are made only in </w:t>
      </w:r>
      <w:r>
        <w:rPr>
          <w:b/>
        </w:rPr>
        <w:t>Work queue</w:t>
      </w:r>
      <w:r>
        <w:t>.</w:t>
      </w:r>
    </w:p>
    <w:p>
      <w:pPr>
        <w:pStyle w:val="Heading1"/>
      </w:pPr>
      <w:r>
        <w:t>12. Factory decisions</w:t>
      </w:r>
    </w:p>
    <w:p>
      <w:pPr/>
      <w:r>
        <w:t>Factory decisions use the same signed-journal mechanism in their own isolated authority. Codex and the factory act only on a signed decision bound to exact hashes, not on chat.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4176"/>
      </w:tblGrid>
      <w:tr>
        <w:trPr>
          <w:cantSplit/>
          <w:tblHeader/>
        </w:trPr>
        <w:tc>
          <w:tcPr>
            <w:tcW w:type="dxa" w:w="2160"/>
            <w:vAlign w:val="center"/>
            <w:tcMar>
              <w:top w:w="90" w:type="dxa"/>
              <w:left w:w="90" w:type="dxa"/>
              <w:bottom w:w="90" w:type="dxa"/>
              <w:right w:w="90" w:type="dxa"/>
            </w:tcMar>
            <w:shd w:fill="E8EFF4"/>
          </w:tcPr>
          <w:p>
            <w:pPr>
              <w:spacing w:after="60"/>
            </w:pPr>
            <w:r>
              <w:rPr>
                <w:b/>
                <w:sz w:val="20"/>
              </w:rPr>
              <w:t>Decision</w:t>
            </w:r>
          </w:p>
        </w:tc>
        <w:tc>
          <w:tcPr>
            <w:tcW w:type="dxa" w:w="3600"/>
            <w:vAlign w:val="center"/>
            <w:tcMar>
              <w:top w:w="90" w:type="dxa"/>
              <w:left w:w="90" w:type="dxa"/>
              <w:bottom w:w="90" w:type="dxa"/>
              <w:right w:w="90" w:type="dxa"/>
            </w:tcMar>
            <w:shd w:fill="E8EFF4"/>
          </w:tcPr>
          <w:p>
            <w:pPr>
              <w:spacing w:after="60"/>
            </w:pPr>
            <w:r>
              <w:rPr>
                <w:b/>
                <w:sz w:val="20"/>
              </w:rPr>
              <w:t>What you approve</w:t>
            </w:r>
          </w:p>
        </w:tc>
        <w:tc>
          <w:tcPr>
            <w:tcW w:type="dxa" w:w="4176"/>
            <w:vAlign w:val="center"/>
            <w:tcMar>
              <w:top w:w="90" w:type="dxa"/>
              <w:left w:w="90" w:type="dxa"/>
              <w:bottom w:w="90" w:type="dxa"/>
              <w:right w:w="90" w:type="dxa"/>
            </w:tcMar>
            <w:shd w:fill="E8EFF4"/>
          </w:tcPr>
          <w:p>
            <w:pPr>
              <w:spacing w:after="60"/>
            </w:pPr>
            <w:r>
              <w:rPr>
                <w:b/>
                <w:sz w:val="20"/>
              </w:rPr>
              <w:t>Role</w:t>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scenario-threshold-approval</w:t>
            </w:r>
            <w:r>
              <w:rPr>
                <w:sz w:val="20"/>
              </w:rPr>
            </w:r>
          </w:p>
        </w:tc>
        <w:tc>
          <w:tcPr>
            <w:tcW w:type="dxa" w:w="3600"/>
            <w:vAlign w:val="center"/>
            <w:tcMar>
              <w:top w:w="90" w:type="dxa"/>
              <w:left w:w="90" w:type="dxa"/>
              <w:bottom w:w="90" w:type="dxa"/>
              <w:right w:w="90" w:type="dxa"/>
            </w:tcMar>
            <w:shd w:fill="FFFFFF"/>
          </w:tcPr>
          <w:p>
            <w:pPr>
              <w:spacing w:after="60"/>
            </w:pPr>
            <w:r>
              <w:rPr>
                <w:sz w:val="20"/>
              </w:rPr>
              <w:t>A threshold policy version (criteria, minimum set sizes, what may be excluded)</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qualification-approver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io-exception-acceptance</w:t>
            </w:r>
            <w:r>
              <w:rPr>
                <w:sz w:val="20"/>
              </w:rPr>
            </w:r>
          </w:p>
        </w:tc>
        <w:tc>
          <w:tcPr>
            <w:tcW w:type="dxa" w:w="3600"/>
            <w:vAlign w:val="center"/>
            <w:tcMar>
              <w:top w:w="90" w:type="dxa"/>
              <w:left w:w="90" w:type="dxa"/>
              <w:bottom w:w="90" w:type="dxa"/>
              <w:right w:w="90" w:type="dxa"/>
            </w:tcMar>
            <w:shd w:fill="FFFFFF"/>
          </w:tcPr>
          <w:p>
            <w:pPr>
              <w:spacing w:after="60"/>
            </w:pPr>
            <w:r>
              <w:rPr>
                <w:sz w:val="20"/>
              </w:rPr>
              <w:t>One I/O outcome left unobserved, bound to source hash, line and argument</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qualification-approver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equivalence-review</w:t>
            </w:r>
            <w:r>
              <w:rPr>
                <w:sz w:val="20"/>
              </w:rPr>
            </w:r>
          </w:p>
        </w:tc>
        <w:tc>
          <w:tcPr>
            <w:tcW w:type="dxa" w:w="3600"/>
            <w:vAlign w:val="center"/>
            <w:tcMar>
              <w:top w:w="90" w:type="dxa"/>
              <w:left w:w="90" w:type="dxa"/>
              <w:bottom w:w="90" w:type="dxa"/>
              <w:right w:w="90" w:type="dxa"/>
            </w:tcMar>
            <w:shd w:fill="FFFFFF"/>
          </w:tcPr>
          <w:p>
            <w:pPr>
              <w:spacing w:after="60"/>
            </w:pPr>
            <w:r>
              <w:rPr>
                <w:sz w:val="20"/>
              </w:rPr>
              <w:t>Accept or reject a review packet: per mutant, or a class proof</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qualification-approver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legacy-behaviour-disposition</w:t>
            </w:r>
            <w:r>
              <w:rPr>
                <w:sz w:val="20"/>
              </w:rPr>
            </w:r>
          </w:p>
        </w:tc>
        <w:tc>
          <w:tcPr>
            <w:tcW w:type="dxa" w:w="3600"/>
            <w:vAlign w:val="center"/>
            <w:tcMar>
              <w:top w:w="90" w:type="dxa"/>
              <w:left w:w="90" w:type="dxa"/>
              <w:bottom w:w="90" w:type="dxa"/>
              <w:right w:w="90" w:type="dxa"/>
            </w:tcMar>
            <w:shd w:fill="FFFFFF"/>
          </w:tcPr>
          <w:p>
            <w:pPr>
              <w:spacing w:after="60"/>
            </w:pPr>
            <w:r>
              <w:rPr>
                <w:sz w:val="20"/>
              </w:rPr>
              <w:t>Keep or fix a registered legacy behaviour (for example REWRITE-109)</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business-owner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twin-human-review</w:t>
            </w:r>
            <w:r>
              <w:rPr>
                <w:sz w:val="20"/>
              </w:rPr>
            </w:r>
          </w:p>
        </w:tc>
        <w:tc>
          <w:tcPr>
            <w:tcW w:type="dxa" w:w="3600"/>
            <w:vAlign w:val="center"/>
            <w:tcMar>
              <w:top w:w="90" w:type="dxa"/>
              <w:left w:w="90" w:type="dxa"/>
              <w:bottom w:w="90" w:type="dxa"/>
              <w:right w:w="90" w:type="dxa"/>
            </w:tcMar>
            <w:shd w:fill="FFFFFF"/>
          </w:tcPr>
          <w:p>
            <w:pPr>
              <w:spacing w:after="60"/>
            </w:pPr>
            <w:r>
              <w:rPr>
                <w:sz w:val="20"/>
              </w:rPr>
              <w:t>Accept, reject or investigate each record of a twin review sheet</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qualification-approver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model-spend-approval</w:t>
            </w:r>
            <w:r>
              <w:rPr>
                <w:sz w:val="20"/>
              </w:rPr>
            </w:r>
          </w:p>
        </w:tc>
        <w:tc>
          <w:tcPr>
            <w:tcW w:type="dxa" w:w="3600"/>
            <w:vAlign w:val="center"/>
            <w:tcMar>
              <w:top w:w="90" w:type="dxa"/>
              <w:left w:w="90" w:type="dxa"/>
              <w:bottom w:w="90" w:type="dxa"/>
              <w:right w:w="90" w:type="dxa"/>
            </w:tcMar>
            <w:shd w:fill="FFFFFF"/>
          </w:tcPr>
          <w:p>
            <w:pPr>
              <w:spacing w:after="60"/>
            </w:pPr>
            <w:r>
              <w:rPr>
                <w:sz w:val="20"/>
              </w:rPr>
              <w:t>One plan hash: calls, tokens, hours, dollar cap, transport, client</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campaign-authorizer</w:t>
            </w:r>
            <w:r>
              <w:rPr>
                <w:sz w:val="20"/>
              </w:rPr>
            </w:r>
          </w:p>
        </w:tc>
      </w:tr>
      <w:tr>
        <w:trPr>
          <w:cantSplit/>
        </w:trPr>
        <w:tc>
          <w:tcPr>
            <w:tcW w:type="dxa" w:w="2160"/>
            <w:vAlign w:val="center"/>
            <w:tcMar>
              <w:top w:w="90" w:type="dxa"/>
              <w:left w:w="90" w:type="dxa"/>
              <w:bottom w:w="90" w:type="dxa"/>
              <w:right w:w="90" w:type="dxa"/>
            </w:tcMar>
            <w:shd w:fill="FFFFFF"/>
          </w:tcPr>
          <w:p>
            <w:pPr>
              <w:spacing w:after="60"/>
            </w:pPr>
            <w:r>
              <w:rPr>
                <w:sz w:val="20"/>
              </w:rPr>
            </w:r>
            <w:r>
              <w:rPr>
                <w:rFonts w:ascii="Consolas" w:hAnsi="Consolas"/>
                <w:sz w:val="20"/>
              </w:rPr>
              <w:t>engineering-run-approval</w:t>
            </w:r>
            <w:r>
              <w:rPr>
                <w:sz w:val="20"/>
              </w:rPr>
            </w:r>
          </w:p>
        </w:tc>
        <w:tc>
          <w:tcPr>
            <w:tcW w:type="dxa" w:w="3600"/>
            <w:vAlign w:val="center"/>
            <w:tcMar>
              <w:top w:w="90" w:type="dxa"/>
              <w:left w:w="90" w:type="dxa"/>
              <w:bottom w:w="90" w:type="dxa"/>
              <w:right w:w="90" w:type="dxa"/>
            </w:tcMar>
            <w:shd w:fill="FFFFFF"/>
          </w:tcPr>
          <w:p>
            <w:pPr>
              <w:spacing w:after="60"/>
            </w:pPr>
            <w:r>
              <w:rPr>
                <w:sz w:val="20"/>
              </w:rPr>
              <w:t>One executable commit, request seal and window for an engineering run</w:t>
            </w:r>
          </w:p>
        </w:tc>
        <w:tc>
          <w:tcPr>
            <w:tcW w:type="dxa" w:w="4176"/>
            <w:vAlign w:val="center"/>
            <w:tcMar>
              <w:top w:w="90" w:type="dxa"/>
              <w:left w:w="90" w:type="dxa"/>
              <w:bottom w:w="90" w:type="dxa"/>
              <w:right w:w="90" w:type="dxa"/>
            </w:tcMar>
            <w:shd w:fill="FFFFFF"/>
          </w:tcPr>
          <w:p>
            <w:pPr>
              <w:spacing w:after="60"/>
            </w:pPr>
            <w:r>
              <w:rPr>
                <w:sz w:val="20"/>
              </w:rPr>
            </w:r>
            <w:r>
              <w:rPr>
                <w:rFonts w:ascii="Consolas" w:hAnsi="Consolas"/>
                <w:sz w:val="20"/>
              </w:rPr>
              <w:t>campaign-authorizer</w:t>
            </w:r>
            <w:r>
              <w:rPr>
                <w:sz w:val="20"/>
              </w:rPr>
            </w:r>
          </w:p>
        </w:tc>
      </w:tr>
    </w:tbl>
    <w:p/>
    <w:p>
      <w:pPr/>
      <w:r>
        <w:t>How to decide:</w:t>
      </w:r>
    </w:p>
    <w:p>
      <w:pPr/>
      <w:r>
        <w:t xml:space="preserve">1. Open the item in </w:t>
      </w:r>
      <w:r>
        <w:rPr>
          <w:b/>
        </w:rPr>
        <w:t>Work queue</w:t>
      </w:r>
      <w:r>
        <w:t>. Read the bound evidence and hashes; the card lists exactly what the decision covers and what it does not.</w:t>
      </w:r>
    </w:p>
    <w:p>
      <w:pPr/>
      <w:r>
        <w:t xml:space="preserve">2. Choose the outcome, give a reason, an accountable owner and a review date where asked, then click </w:t>
      </w:r>
      <w:r>
        <w:rPr>
          <w:b/>
        </w:rPr>
        <w:t>Record decision</w:t>
      </w:r>
      <w:r>
        <w:t xml:space="preserve"> once.</w:t>
      </w:r>
    </w:p>
    <w:p>
      <w:pPr/>
      <w:r>
        <w:t xml:space="preserve">3. Confirm the signed event in </w:t>
      </w:r>
      <w:r>
        <w:rPr>
          <w:b/>
        </w:rPr>
        <w:t>Decision history</w:t>
      </w:r>
      <w:r>
        <w:t>. The Programs page updates from the signed record.</w:t>
      </w:r>
    </w:p>
    <w:p>
      <w:pPr/>
      <w:r>
        <w:t>Points to watch:</w:t>
      </w:r>
    </w:p>
    <w:p>
      <w:pPr>
        <w:pStyle w:val="ListBullet"/>
      </w:pPr>
      <w:r/>
      <w:r>
        <w:rPr>
          <w:b/>
        </w:rPr>
        <w:t>Model spend.</w:t>
      </w:r>
      <w:r>
        <w:t xml:space="preserve"> You approve a plan hash, not a description. If the plan is amended, even only its labels, it comes back as a new request.</w:t>
      </w:r>
    </w:p>
    <w:p>
      <w:pPr>
        <w:pStyle w:val="ListBullet"/>
      </w:pPr>
      <w:r/>
      <w:r>
        <w:rPr>
          <w:b/>
        </w:rPr>
        <w:t>Keep or fix.</w:t>
      </w:r>
      <w:r>
        <w:t xml:space="preserve"> Changing a behaviour from keep to fix invalidates every equivalence argument that depends on it. The page lists them before you confirm.</w:t>
      </w:r>
    </w:p>
    <w:p>
      <w:pPr>
        <w:pStyle w:val="ListBullet"/>
      </w:pPr>
      <w:r/>
      <w:r>
        <w:rPr>
          <w:b/>
        </w:rPr>
        <w:t>Equivalence review.</w:t>
      </w:r>
      <w:r>
        <w:t xml:space="preserve"> An AI-assisted review is labelled as such. Accepting it is an operator decision, not independent attestation.</w:t>
      </w:r>
    </w:p>
    <w:p>
      <w:pPr>
        <w:pStyle w:val="ListBullet"/>
      </w:pPr>
      <w:r/>
      <w:r>
        <w:rPr>
          <w:b/>
        </w:rPr>
        <w:t>Engineering runs.</w:t>
      </w:r>
      <w:r>
        <w:t xml:space="preserve"> Approval names one commit and one window. A later commit or a missed window needs a new request.</w:t>
      </w:r>
    </w:p>
    <w:p>
      <w:pPr>
        <w:pStyle w:val="Heading1"/>
      </w:pPr>
      <w:r>
        <w:t>13. October 2026 decisions made in chat</w:t>
      </w:r>
    </w:p>
    <w:p>
      <w:pPr/>
      <w:r>
        <w:t>Decisions given in chat between October 10 and the Factory release were recorded as dated decision files (</w:t>
      </w:r>
      <w:r>
        <w:rPr>
          <w:rFonts w:ascii="Consolas" w:hAnsi="Consolas"/>
          <w:sz w:val="18"/>
        </w:rPr>
        <w:t>docs/factory/howard-decisions-*.json</w:t>
      </w:r>
      <w:r>
        <w:t xml:space="preserve">). They are not Tower-signed. The release converts them into one backfill request in </w:t>
      </w:r>
      <w:r>
        <w:rPr>
          <w:b/>
        </w:rPr>
        <w:t>Work queue</w:t>
      </w:r>
      <w:r>
        <w:t>, listing each decision with its original date and bound hashes. Review and sign it once. After signature and the administrator’s activation of signed-only consumption, unsigned files no longer authorize consumers; ask for a Work queue item instead.</w:t>
      </w:r>
    </w:p>
    <w:p>
      <w:pPr>
        <w:pStyle w:val="Heading1"/>
      </w:pPr>
      <w:r>
        <w:t>14. What the Factory scope does not do</w:t>
      </w:r>
    </w:p>
    <w:p>
      <w:pPr>
        <w:pStyle w:val="ListBullet"/>
      </w:pPr>
      <w:r>
        <w:t>It does not run the factory, start campaigns, call models or run the twin.</w:t>
      </w:r>
    </w:p>
    <w:p>
      <w:pPr>
        <w:pStyle w:val="ListBullet"/>
      </w:pPr>
      <w:r>
        <w:t>It does not show customer data, Maintec arrivals or decoded values.</w:t>
      </w:r>
    </w:p>
    <w:p>
      <w:pPr>
        <w:pStyle w:val="ListBullet"/>
      </w:pPr>
      <w:r>
        <w:t>A Factory "releasable" result is about the public reference programs. It is not z/OS confirmation and not a customer release; those remain separate evidence and separate decisions.</w:t>
      </w:r>
    </w:p>
    <w:p>
      <w:pPr/>
      <w:r>
        <w:t xml:space="preserve">For complete contracts see </w:t>
      </w:r>
      <w:hyperlink r:id="rId16">
        <w:r>
          <w:t>CardDemo Tower</w:t>
        </w:r>
      </w:hyperlink>
      <w:r>
        <w:t xml:space="preserve">, </w:t>
      </w:r>
      <w:hyperlink r:id="rId17">
        <w:r>
          <w:t>the intake runbook</w:t>
        </w:r>
      </w:hyperlink>
      <w:r>
        <w:t xml:space="preserve">, </w:t>
      </w:r>
      <w:hyperlink r:id="rId18">
        <w:r>
          <w:t>Decision Console administration</w:t>
        </w:r>
      </w:hyperlink>
      <w:r>
        <w:t xml:space="preserve"> and </w:t>
      </w:r>
      <w:hyperlink r:id="rId19">
        <w:r>
          <w:t>Factory scope administration</w:t>
        </w:r>
      </w:hyperlink>
      <w:r>
        <w:t>.</w:t>
      </w:r>
    </w:p>
    <w:p>
      <w:pPr>
        <w:pStyle w:val="Heading1"/>
      </w:pPr>
      <w:r>
        <w:t>Factory administration and migration (delivery 1)</w:t>
      </w:r>
    </w:p>
    <w:p>
      <w:pPr/>
      <w:r>
        <w:t xml:space="preserve">See </w:t>
      </w:r>
      <w:hyperlink r:id="rId19">
        <w:r>
          <w:t>Factory scope administration</w:t>
        </w:r>
      </w:hyperlink>
      <w:r>
        <w:t xml:space="preserve">. The seven Factory kinds are joined by </w:t>
      </w:r>
      <w:r>
        <w:rPr>
          <w:rFonts w:ascii="Consolas" w:hAnsi="Consolas"/>
          <w:sz w:val="18"/>
        </w:rPr>
        <w:t>factory-decision-backfill</w:t>
      </w:r>
      <w:r>
        <w:t xml:space="preserve"> for the one-time dated record inventory. It requires qualification-approver, campaign-authorizer and business-owner together. Its signature records historical intent; it does not turn past conditional approval into a new run or model-spend authorization.</w:t>
      </w:r>
    </w:p>
    <w:p>
      <w:pPr/>
      <w:r>
        <w:t xml:space="preserve">The backfill contract is </w:t>
      </w:r>
      <w:r>
        <w:rPr>
          <w:rFonts w:ascii="Consolas" w:hAnsi="Consolas"/>
          <w:sz w:val="18"/>
        </w:rPr>
        <w:t>docs/factory/tower-backfill-request-2026-10-12.json</w:t>
      </w:r>
      <w:r>
        <w:t xml:space="preserve">. Each dated source document is included in full with its original date and byte hash. The unsigned POSTTRAN review is a separate </w:t>
      </w:r>
      <w:r>
        <w:rPr>
          <w:rFonts w:ascii="Consolas" w:hAnsi="Consolas"/>
          <w:sz w:val="18"/>
        </w:rPr>
        <w:t>twin-human-review</w:t>
      </w:r>
      <w:r>
        <w:t xml:space="preserve"> request; its suggested outcomes and reasons remain unsigned until confirmed in the queue. MCP </w:t>
      </w:r>
      <w:r>
        <w:rPr>
          <w:rFonts w:ascii="Consolas" w:hAnsi="Consolas"/>
          <w:sz w:val="18"/>
        </w:rPr>
        <w:t>propose_factory_decision</w:t>
      </w:r>
      <w:r>
        <w:t xml:space="preserve"> annotates a Factory request; it cannot approve.</w:t>
      </w:r>
    </w:p>
    <w:p>
      <w:pPr/>
      <w:r>
        <w:t xml:space="preserve">Consumers use </w:t>
      </w:r>
      <w:r>
        <w:rPr>
          <w:rFonts w:ascii="Consolas" w:hAnsi="Consolas"/>
          <w:sz w:val="18"/>
        </w:rPr>
        <w:t>LIGHTYEAR_FACTORY_AUTHORITY</w:t>
      </w:r>
      <w:r>
        <w:t xml:space="preserve"> only after the signed backfill is installed. An invalid configured trust file is an error, never a fallback to chat. The public key and fresh journal head come from the operator, not the request. Refresh every proof to that head. Conditional threshold approval stays pending until an explicit effective policy approval; no conditional text is automatically treated as satisfied. Existing frozen plans remain historical and must be amended and approved before using changed verifier bytes.</w:t>
      </w:r>
    </w:p>
    <w:p>
      <w:pPr>
        <w:pStyle w:val="Heading2"/>
      </w:pPr>
      <w:r>
        <w:t>Programs evidence delivery</w:t>
      </w:r>
    </w:p>
    <w:p>
      <w:pPr/>
      <w:r>
        <w:t xml:space="preserve">The Programs tab uses </w:t>
      </w:r>
      <w:r>
        <w:rPr>
          <w:rFonts w:ascii="Consolas" w:hAnsi="Consolas"/>
          <w:sz w:val="18"/>
        </w:rPr>
        <w:t>/api/tower/programs</w:t>
      </w:r>
      <w:r>
        <w:t xml:space="preserve"> and </w:t>
      </w:r>
      <w:r>
        <w:rPr>
          <w:rFonts w:ascii="Consolas" w:hAnsi="Consolas"/>
          <w:sz w:val="18"/>
        </w:rPr>
        <w:t>/api/tower/program?id=INTCALC</w:t>
      </w:r>
      <w:r>
        <w:t xml:space="preserve"> (or POSTTRAN). An administrator imports a public Git snapshot and pins its index hash outside the engine root. Without that pin the tab reports unavailable. Experiment head and evidence-import commit are shown separately. The current compact receipts come from public CI run 38198096890 on 2dd7876, not a new run on the Tower code. Raw counts include denominators; twin and z/OS-facing assessments are separate. Evidence gaps overlap proof categories. Green CI is not a release.</w:t>
      </w:r>
    </w:p>
    <w:p>
      <w:pPr/>
      <w:r>
        <w:t>Expand Evidence sources and SHA-256 in any panel to inspect the exact committed artifact. Measurements, historical policy assessments and signed overlays remain separate. Not reported means absent in the installed evidence; pending means a review/decision is outstanding; failed means a measured criterion is unmet. Waiting on you opens the Work queue. No request is created by merely viewing a program. Business rules displays rule evidence strength plus scenario adequacy and reasons without hiding the original rule-evidence classification.</w:t>
      </w:r>
    </w:p>
    <w:p>
      <w:pPr>
        <w:pStyle w:val="Heading1"/>
      </w:pPr>
      <w:r>
        <w:t>Status and Unresolved (delivery 3)</w:t>
      </w:r>
    </w:p>
    <w:p>
      <w:pPr/>
      <w:r>
        <w:t xml:space="preserve">Status uses </w:t>
      </w:r>
      <w:r>
        <w:rPr>
          <w:rFonts w:ascii="Consolas" w:hAnsi="Consolas"/>
          <w:sz w:val="18"/>
        </w:rPr>
        <w:t>/api/tower/status</w:t>
      </w:r>
      <w:r>
        <w:t xml:space="preserve">, the same </w:t>
      </w:r>
      <w:r>
        <w:rPr>
          <w:rFonts w:ascii="Consolas" w:hAnsi="Consolas"/>
          <w:sz w:val="18"/>
        </w:rPr>
        <w:t>factory_status.status</w:t>
      </w:r>
      <w:r>
        <w:t xml:space="preserve"> model as the committed </w:t>
      </w:r>
      <w:r>
        <w:rPr>
          <w:rFonts w:ascii="Consolas" w:hAnsi="Consolas"/>
          <w:sz w:val="18"/>
        </w:rPr>
        <w:t>docs/factory/current-status.md</w:t>
      </w:r>
      <w:r>
        <w:t>. The offline document is a pinned snapshot, not a live queue: zero installed pending requests does not mean all scientific reviews are complete. The live view adds verified decisions and queue ages. Old requests without timestamps show “not reported”; no age is invented. B06 hold and B07 planning are historical receipt states, not execution permission.</w:t>
      </w:r>
    </w:p>
    <w:p>
      <w:pPr/>
      <w:r>
        <w:t xml:space="preserve">Unresolved uses </w:t>
      </w:r>
      <w:r>
        <w:rPr>
          <w:rFonts w:ascii="Consolas" w:hAnsi="Consolas"/>
          <w:sz w:val="18"/>
        </w:rPr>
        <w:t>/api/tower/unresolved?program=POSTTRAN&amp;kind=evidence-gap</w:t>
      </w:r>
      <w:r>
        <w:t>. Filters include survivors, evidence gaps, twin limits, pending reviews, invalidated arguments, disagreements and divergences. Only recorded evidence creates rows. Cross-scope repetitions are labelled; the row count is not a mutation adequacy denominator. Empty filters do not prove the absence of defects. Every row includes its source hash. Signed keep-to-fix changes append invalidation overlays while preserving raw arguments. Programs and these two routes are unavailable outside Factory. The original Console tabs remain present; views without an installed adapter say unavailable rather than showing another scope.</w:t>
      </w:r>
    </w:p>
    <w:p>
      <w:pPr/>
      <w:r>
        <w:t xml:space="preserve">Future pages are designs only: </w:t>
      </w:r>
      <w:hyperlink r:id="rId20">
        <w:r>
          <w:t>dual-run monitor</w:t>
        </w:r>
      </w:hyperlink>
      <w:r>
        <w:t xml:space="preserve">, </w:t>
      </w:r>
      <w:hyperlink r:id="rId21">
        <w:r>
          <w:t>ZD&amp;T calibration</w:t>
        </w:r>
      </w:hyperlink>
      <w:r>
        <w:t xml:space="preserve"> and </w:t>
      </w:r>
      <w:hyperlink r:id="rId22">
        <w:r>
          <w:t>B07 campaigns</w:t>
        </w:r>
      </w:hyperlink>
      <w:r>
        <w:t>. No dispatch, native run or new decision kind is enabled by those pages.</w:t>
      </w:r>
    </w:p>
    <w:p>
      <w:pPr>
        <w:pStyle w:val="Heading1"/>
      </w:pPr>
      <w:r>
        <w:t>Closed API and vocabulary reference</w:t>
      </w:r>
    </w:p>
    <w:p>
      <w:pPr/>
      <w:r>
        <w:t>Routes require authentication except session establishment. Mutating routes use the existing CSRF/session controls; this list grants no role or execution power. A route can report unavailable in a scope. Factory-only routes are programs, program, status and unresolved; intake also leaves knowledge and business-rules unavailable. Session uses POST; reads use GET and the four write routes use POST.</w:t>
      </w:r>
    </w:p>
    <w:p>
      <w:pPr>
        <w:pStyle w:val="ListBullet"/>
      </w:pPr>
      <w:r/>
      <w:r>
        <w:rPr>
          <w:rFonts w:ascii="Consolas" w:hAnsi="Consolas"/>
          <w:sz w:val="18"/>
        </w:rPr>
        <w:t>/api/tower/arrivals</w:t>
      </w:r>
      <w:r/>
    </w:p>
    <w:p>
      <w:pPr>
        <w:pStyle w:val="ListBullet"/>
      </w:pPr>
      <w:r/>
      <w:r>
        <w:rPr>
          <w:rFonts w:ascii="Consolas" w:hAnsi="Consolas"/>
          <w:sz w:val="18"/>
        </w:rPr>
        <w:t>/api/tower/business-rules</w:t>
      </w:r>
      <w:r/>
    </w:p>
    <w:p>
      <w:pPr>
        <w:pStyle w:val="ListBullet"/>
      </w:pPr>
      <w:r/>
      <w:r>
        <w:rPr>
          <w:rFonts w:ascii="Consolas" w:hAnsi="Consolas"/>
          <w:sz w:val="18"/>
        </w:rPr>
        <w:t>/api/tower/campaign</w:t>
      </w:r>
      <w:r/>
    </w:p>
    <w:p>
      <w:pPr>
        <w:pStyle w:val="ListBullet"/>
      </w:pPr>
      <w:r/>
      <w:r>
        <w:rPr>
          <w:rFonts w:ascii="Consolas" w:hAnsi="Consolas"/>
          <w:sz w:val="18"/>
        </w:rPr>
        <w:t>/api/tower/campaigns</w:t>
      </w:r>
      <w:r/>
    </w:p>
    <w:p>
      <w:pPr>
        <w:pStyle w:val="ListBullet"/>
      </w:pPr>
      <w:r/>
      <w:r>
        <w:rPr>
          <w:rFonts w:ascii="Consolas" w:hAnsi="Consolas"/>
          <w:sz w:val="18"/>
        </w:rPr>
        <w:t>/api/tower/catalogue</w:t>
      </w:r>
      <w:r/>
    </w:p>
    <w:p>
      <w:pPr>
        <w:pStyle w:val="ListBullet"/>
      </w:pPr>
      <w:r/>
      <w:r>
        <w:rPr>
          <w:rFonts w:ascii="Consolas" w:hAnsi="Consolas"/>
          <w:sz w:val="18"/>
        </w:rPr>
        <w:t>/api/tower/decide</w:t>
      </w:r>
      <w:r/>
    </w:p>
    <w:p>
      <w:pPr>
        <w:pStyle w:val="ListBullet"/>
      </w:pPr>
      <w:r/>
      <w:r>
        <w:rPr>
          <w:rFonts w:ascii="Consolas" w:hAnsi="Consolas"/>
          <w:sz w:val="18"/>
        </w:rPr>
        <w:t>/api/tower/events</w:t>
      </w:r>
      <w:r/>
    </w:p>
    <w:p>
      <w:pPr>
        <w:pStyle w:val="ListBullet"/>
      </w:pPr>
      <w:r/>
      <w:r>
        <w:rPr>
          <w:rFonts w:ascii="Consolas" w:hAnsi="Consolas"/>
          <w:sz w:val="18"/>
        </w:rPr>
        <w:t>/api/tower/export</w:t>
      </w:r>
      <w:r/>
    </w:p>
    <w:p>
      <w:pPr>
        <w:pStyle w:val="ListBullet"/>
      </w:pPr>
      <w:r/>
      <w:r>
        <w:rPr>
          <w:rFonts w:ascii="Consolas" w:hAnsi="Consolas"/>
          <w:sz w:val="18"/>
        </w:rPr>
        <w:t>/api/tower/history</w:t>
      </w:r>
      <w:r/>
    </w:p>
    <w:p>
      <w:pPr>
        <w:pStyle w:val="ListBullet"/>
      </w:pPr>
      <w:r/>
      <w:r>
        <w:rPr>
          <w:rFonts w:ascii="Consolas" w:hAnsi="Consolas"/>
          <w:sz w:val="18"/>
        </w:rPr>
        <w:t>/api/tower/item</w:t>
      </w:r>
      <w:r/>
    </w:p>
    <w:p>
      <w:pPr>
        <w:pStyle w:val="ListBullet"/>
      </w:pPr>
      <w:r/>
      <w:r>
        <w:rPr>
          <w:rFonts w:ascii="Consolas" w:hAnsi="Consolas"/>
          <w:sz w:val="18"/>
        </w:rPr>
        <w:t>/api/tower/knowledge</w:t>
      </w:r>
      <w:r/>
    </w:p>
    <w:p>
      <w:pPr>
        <w:pStyle w:val="ListBullet"/>
      </w:pPr>
      <w:r/>
      <w:r>
        <w:rPr>
          <w:rFonts w:ascii="Consolas" w:hAnsi="Consolas"/>
          <w:sz w:val="18"/>
        </w:rPr>
        <w:t>/api/tower/logout</w:t>
      </w:r>
      <w:r/>
    </w:p>
    <w:p>
      <w:pPr>
        <w:pStyle w:val="ListBullet"/>
      </w:pPr>
      <w:r/>
      <w:r>
        <w:rPr>
          <w:rFonts w:ascii="Consolas" w:hAnsi="Consolas"/>
          <w:sz w:val="18"/>
        </w:rPr>
        <w:t>/api/tower/program</w:t>
      </w:r>
      <w:r/>
    </w:p>
    <w:p>
      <w:pPr>
        <w:pStyle w:val="ListBullet"/>
      </w:pPr>
      <w:r/>
      <w:r>
        <w:rPr>
          <w:rFonts w:ascii="Consolas" w:hAnsi="Consolas"/>
          <w:sz w:val="18"/>
        </w:rPr>
        <w:t>/api/tower/programs</w:t>
      </w:r>
      <w:r/>
    </w:p>
    <w:p>
      <w:pPr>
        <w:pStyle w:val="ListBullet"/>
      </w:pPr>
      <w:r/>
      <w:r>
        <w:rPr>
          <w:rFonts w:ascii="Consolas" w:hAnsi="Consolas"/>
          <w:sz w:val="18"/>
        </w:rPr>
        <w:t>/api/tower/proof</w:t>
      </w:r>
      <w:r/>
    </w:p>
    <w:p>
      <w:pPr>
        <w:pStyle w:val="ListBullet"/>
      </w:pPr>
      <w:r/>
      <w:r>
        <w:rPr>
          <w:rFonts w:ascii="Consolas" w:hAnsi="Consolas"/>
          <w:sz w:val="18"/>
        </w:rPr>
        <w:t>/api/tower/propose</w:t>
      </w:r>
      <w:r/>
    </w:p>
    <w:p>
      <w:pPr>
        <w:pStyle w:val="ListBullet"/>
      </w:pPr>
      <w:r/>
      <w:r>
        <w:rPr>
          <w:rFonts w:ascii="Consolas" w:hAnsi="Consolas"/>
          <w:sz w:val="18"/>
        </w:rPr>
        <w:t>/api/tower/queue</w:t>
      </w:r>
      <w:r/>
    </w:p>
    <w:p>
      <w:pPr>
        <w:pStyle w:val="ListBullet"/>
      </w:pPr>
      <w:r/>
      <w:r>
        <w:rPr>
          <w:rFonts w:ascii="Consolas" w:hAnsi="Consolas"/>
          <w:sz w:val="18"/>
        </w:rPr>
        <w:t>/api/tower/review</w:t>
      </w:r>
      <w:r/>
    </w:p>
    <w:p>
      <w:pPr>
        <w:pStyle w:val="ListBullet"/>
      </w:pPr>
      <w:r/>
      <w:r>
        <w:rPr>
          <w:rFonts w:ascii="Consolas" w:hAnsi="Consolas"/>
          <w:sz w:val="18"/>
        </w:rPr>
        <w:t>/api/tower/rules</w:t>
      </w:r>
      <w:r/>
    </w:p>
    <w:p>
      <w:pPr>
        <w:pStyle w:val="ListBullet"/>
      </w:pPr>
      <w:r/>
      <w:r>
        <w:rPr>
          <w:rFonts w:ascii="Consolas" w:hAnsi="Consolas"/>
          <w:sz w:val="18"/>
        </w:rPr>
        <w:t>/api/tower/session</w:t>
      </w:r>
      <w:r/>
    </w:p>
    <w:p>
      <w:pPr>
        <w:pStyle w:val="ListBullet"/>
      </w:pPr>
      <w:r/>
      <w:r>
        <w:rPr>
          <w:rFonts w:ascii="Consolas" w:hAnsi="Consolas"/>
          <w:sz w:val="18"/>
        </w:rPr>
        <w:t>/api/tower/status</w:t>
      </w:r>
      <w:r/>
    </w:p>
    <w:p>
      <w:pPr>
        <w:pStyle w:val="ListBullet"/>
      </w:pPr>
      <w:r/>
      <w:r>
        <w:rPr>
          <w:rFonts w:ascii="Consolas" w:hAnsi="Consolas"/>
          <w:sz w:val="18"/>
        </w:rPr>
        <w:t>/api/tower/unresolved</w:t>
      </w:r>
      <w:r/>
    </w:p>
    <w:p>
      <w:pPr>
        <w:pStyle w:val="ListBullet"/>
      </w:pPr>
      <w:r/>
      <w:r>
        <w:rPr>
          <w:rFonts w:ascii="Consolas" w:hAnsi="Consolas"/>
          <w:sz w:val="18"/>
        </w:rPr>
        <w:t>/api/tower/validation</w:t>
      </w:r>
      <w:r/>
    </w:p>
    <w:p>
      <w:pPr>
        <w:pStyle w:val="ListBullet"/>
      </w:pPr>
      <w:r/>
      <w:r>
        <w:rPr>
          <w:rFonts w:ascii="Consolas" w:hAnsi="Consolas"/>
          <w:sz w:val="18"/>
        </w:rPr>
        <w:t>/api/tower/workspace</w:t>
      </w:r>
      <w:r/>
    </w:p>
    <w:p>
      <w:pPr/>
      <w:r>
        <w:t>Navigation identifiers and labels:</w:t>
      </w:r>
    </w:p>
    <w:p>
      <w:pPr>
        <w:pStyle w:val="ListBullet"/>
      </w:pPr>
      <w:r/>
      <w:r>
        <w:rPr>
          <w:rFonts w:ascii="Consolas" w:hAnsi="Consolas"/>
          <w:sz w:val="18"/>
        </w:rPr>
        <w:t>status</w:t>
      </w:r>
      <w:r>
        <w:t>: Status</w:t>
      </w:r>
    </w:p>
    <w:p>
      <w:pPr>
        <w:pStyle w:val="ListBullet"/>
      </w:pPr>
      <w:r/>
      <w:r>
        <w:rPr>
          <w:rFonts w:ascii="Consolas" w:hAnsi="Consolas"/>
          <w:sz w:val="18"/>
        </w:rPr>
        <w:t>unresolved</w:t>
      </w:r>
      <w:r>
        <w:t>: Unresolved</w:t>
      </w:r>
    </w:p>
    <w:p>
      <w:pPr>
        <w:pStyle w:val="ListBullet"/>
      </w:pPr>
      <w:r/>
      <w:r>
        <w:rPr>
          <w:rFonts w:ascii="Consolas" w:hAnsi="Consolas"/>
          <w:sz w:val="18"/>
        </w:rPr>
        <w:t>programs</w:t>
      </w:r>
      <w:r>
        <w:t>: Programs</w:t>
      </w:r>
    </w:p>
    <w:p>
      <w:pPr>
        <w:pStyle w:val="ListBullet"/>
      </w:pPr>
      <w:r/>
      <w:r>
        <w:rPr>
          <w:rFonts w:ascii="Consolas" w:hAnsi="Consolas"/>
          <w:sz w:val="18"/>
        </w:rPr>
        <w:t>campaigns</w:t>
      </w:r>
      <w:r>
        <w:t>: Campaigns</w:t>
      </w:r>
    </w:p>
    <w:p>
      <w:pPr>
        <w:pStyle w:val="ListBullet"/>
      </w:pPr>
      <w:r/>
      <w:r>
        <w:rPr>
          <w:rFonts w:ascii="Consolas" w:hAnsi="Consolas"/>
          <w:sz w:val="18"/>
        </w:rPr>
        <w:t>queue</w:t>
      </w:r>
      <w:r>
        <w:t>: Work queue</w:t>
      </w:r>
    </w:p>
    <w:p>
      <w:pPr>
        <w:pStyle w:val="ListBullet"/>
      </w:pPr>
      <w:r/>
      <w:r>
        <w:rPr>
          <w:rFonts w:ascii="Consolas" w:hAnsi="Consolas"/>
          <w:sz w:val="18"/>
        </w:rPr>
        <w:t>catalogue</w:t>
      </w:r>
      <w:r>
        <w:t>: Catalogue</w:t>
      </w:r>
    </w:p>
    <w:p>
      <w:pPr>
        <w:pStyle w:val="ListBullet"/>
      </w:pPr>
      <w:r/>
      <w:r>
        <w:rPr>
          <w:rFonts w:ascii="Consolas" w:hAnsi="Consolas"/>
          <w:sz w:val="18"/>
        </w:rPr>
        <w:t>workspace</w:t>
      </w:r>
      <w:r>
        <w:t>: Customer workspace</w:t>
      </w:r>
    </w:p>
    <w:p>
      <w:pPr>
        <w:pStyle w:val="ListBullet"/>
      </w:pPr>
      <w:r/>
      <w:r>
        <w:rPr>
          <w:rFonts w:ascii="Consolas" w:hAnsi="Consolas"/>
          <w:sz w:val="18"/>
        </w:rPr>
        <w:t>history</w:t>
      </w:r>
      <w:r>
        <w:t>: Decision history</w:t>
      </w:r>
    </w:p>
    <w:p>
      <w:pPr>
        <w:pStyle w:val="ListBullet"/>
      </w:pPr>
      <w:r/>
      <w:r>
        <w:rPr>
          <w:rFonts w:ascii="Consolas" w:hAnsi="Consolas"/>
          <w:sz w:val="18"/>
        </w:rPr>
        <w:t>knowledge</w:t>
      </w:r>
      <w:r>
        <w:t>: Graph memory</w:t>
      </w:r>
    </w:p>
    <w:p>
      <w:pPr>
        <w:pStyle w:val="ListBullet"/>
      </w:pPr>
      <w:r/>
      <w:r>
        <w:rPr>
          <w:rFonts w:ascii="Consolas" w:hAnsi="Consolas"/>
          <w:sz w:val="18"/>
        </w:rPr>
        <w:t>businessRules</w:t>
      </w:r>
      <w:r>
        <w:t>: Business rules</w:t>
      </w:r>
    </w:p>
    <w:p>
      <w:pPr/>
      <w:r>
        <w:t>The eight Factory kinds are listed in section 12 and the migration section. The following is the complete registry vocabulary across installed scopes; it does not make default/B06 kinds available in Factory. Intake retains only intake-acceptance, normalization, difference-disposition and evidence-release.</w:t>
      </w:r>
    </w:p>
    <w:p>
      <w:pPr>
        <w:pStyle w:val="ListBullet"/>
      </w:pPr>
      <w:r/>
      <w:r>
        <w:rPr>
          <w:rFonts w:ascii="Consolas" w:hAnsi="Consolas"/>
          <w:sz w:val="18"/>
        </w:rPr>
        <w:t>b06-pause</w:t>
      </w:r>
      <w:r/>
    </w:p>
    <w:p>
      <w:pPr>
        <w:pStyle w:val="ListBullet"/>
      </w:pPr>
      <w:r/>
      <w:r>
        <w:rPr>
          <w:rFonts w:ascii="Consolas" w:hAnsi="Consolas"/>
          <w:sz w:val="18"/>
        </w:rPr>
        <w:t>b06-qualification-group</w:t>
      </w:r>
      <w:r/>
    </w:p>
    <w:p>
      <w:pPr>
        <w:pStyle w:val="ListBullet"/>
      </w:pPr>
      <w:r/>
      <w:r>
        <w:rPr>
          <w:rFonts w:ascii="Consolas" w:hAnsi="Consolas"/>
          <w:sz w:val="18"/>
        </w:rPr>
        <w:t>business-rule-disposition</w:t>
      </w:r>
      <w:r/>
    </w:p>
    <w:p>
      <w:pPr>
        <w:pStyle w:val="ListBullet"/>
      </w:pPr>
      <w:r/>
      <w:r>
        <w:rPr>
          <w:rFonts w:ascii="Consolas" w:hAnsi="Consolas"/>
          <w:sz w:val="18"/>
        </w:rPr>
        <w:t>campaign-authorization</w:t>
      </w:r>
      <w:r/>
    </w:p>
    <w:p>
      <w:pPr>
        <w:pStyle w:val="ListBullet"/>
      </w:pPr>
      <w:r/>
      <w:r>
        <w:rPr>
          <w:rFonts w:ascii="Consolas" w:hAnsi="Consolas"/>
          <w:sz w:val="18"/>
        </w:rPr>
        <w:t>classification-acceptance</w:t>
      </w:r>
      <w:r/>
    </w:p>
    <w:p>
      <w:pPr>
        <w:pStyle w:val="ListBullet"/>
      </w:pPr>
      <w:r/>
      <w:r>
        <w:rPr>
          <w:rFonts w:ascii="Consolas" w:hAnsi="Consolas"/>
          <w:sz w:val="18"/>
        </w:rPr>
        <w:t>difference-disposition</w:t>
      </w:r>
      <w:r/>
    </w:p>
    <w:p>
      <w:pPr>
        <w:pStyle w:val="ListBullet"/>
      </w:pPr>
      <w:r/>
      <w:r>
        <w:rPr>
          <w:rFonts w:ascii="Consolas" w:hAnsi="Consolas"/>
          <w:sz w:val="18"/>
        </w:rPr>
        <w:t>embedding-provider-approval</w:t>
      </w:r>
      <w:r/>
    </w:p>
    <w:p>
      <w:pPr>
        <w:pStyle w:val="ListBullet"/>
      </w:pPr>
      <w:r/>
      <w:r>
        <w:rPr>
          <w:rFonts w:ascii="Consolas" w:hAnsi="Consolas"/>
          <w:sz w:val="18"/>
        </w:rPr>
        <w:t>engineering-run-approval</w:t>
      </w:r>
      <w:r/>
    </w:p>
    <w:p>
      <w:pPr>
        <w:pStyle w:val="ListBullet"/>
      </w:pPr>
      <w:r/>
      <w:r>
        <w:rPr>
          <w:rFonts w:ascii="Consolas" w:hAnsi="Consolas"/>
          <w:sz w:val="18"/>
        </w:rPr>
        <w:t>equivalence-review</w:t>
      </w:r>
      <w:r/>
    </w:p>
    <w:p>
      <w:pPr>
        <w:pStyle w:val="ListBullet"/>
      </w:pPr>
      <w:r/>
      <w:r>
        <w:rPr>
          <w:rFonts w:ascii="Consolas" w:hAnsi="Consolas"/>
          <w:sz w:val="18"/>
        </w:rPr>
        <w:t>evidence-release</w:t>
      </w:r>
      <w:r/>
    </w:p>
    <w:p>
      <w:pPr>
        <w:pStyle w:val="ListBullet"/>
      </w:pPr>
      <w:r/>
      <w:r>
        <w:rPr>
          <w:rFonts w:ascii="Consolas" w:hAnsi="Consolas"/>
          <w:sz w:val="18"/>
        </w:rPr>
        <w:t>factory-decision-backfill</w:t>
      </w:r>
      <w:r/>
    </w:p>
    <w:p>
      <w:pPr>
        <w:pStyle w:val="ListBullet"/>
      </w:pPr>
      <w:r/>
      <w:r>
        <w:rPr>
          <w:rFonts w:ascii="Consolas" w:hAnsi="Consolas"/>
          <w:sz w:val="18"/>
        </w:rPr>
        <w:t>freeze-approval</w:t>
      </w:r>
      <w:r/>
    </w:p>
    <w:p>
      <w:pPr>
        <w:pStyle w:val="ListBullet"/>
      </w:pPr>
      <w:r/>
      <w:r>
        <w:rPr>
          <w:rFonts w:ascii="Consolas" w:hAnsi="Consolas"/>
          <w:sz w:val="18"/>
        </w:rPr>
        <w:t>graph-annotation</w:t>
      </w:r>
      <w:r/>
    </w:p>
    <w:p>
      <w:pPr>
        <w:pStyle w:val="ListBullet"/>
      </w:pPr>
      <w:r/>
      <w:r>
        <w:rPr>
          <w:rFonts w:ascii="Consolas" w:hAnsi="Consolas"/>
          <w:sz w:val="18"/>
        </w:rPr>
        <w:t>graph-annotation-verified</w:t>
      </w:r>
      <w:r/>
    </w:p>
    <w:p>
      <w:pPr>
        <w:pStyle w:val="ListBullet"/>
      </w:pPr>
      <w:r/>
      <w:r>
        <w:rPr>
          <w:rFonts w:ascii="Consolas" w:hAnsi="Consolas"/>
          <w:sz w:val="18"/>
        </w:rPr>
        <w:t>graph-search-labels</w:t>
      </w:r>
      <w:r/>
    </w:p>
    <w:p>
      <w:pPr>
        <w:pStyle w:val="ListBullet"/>
      </w:pPr>
      <w:r/>
      <w:r>
        <w:rPr>
          <w:rFonts w:ascii="Consolas" w:hAnsi="Consolas"/>
          <w:sz w:val="18"/>
        </w:rPr>
        <w:t>intake-acceptance</w:t>
      </w:r>
      <w:r/>
    </w:p>
    <w:p>
      <w:pPr>
        <w:pStyle w:val="ListBullet"/>
      </w:pPr>
      <w:r/>
      <w:r>
        <w:rPr>
          <w:rFonts w:ascii="Consolas" w:hAnsi="Consolas"/>
          <w:sz w:val="18"/>
        </w:rPr>
        <w:t>io-exception-acceptance</w:t>
      </w:r>
      <w:r/>
    </w:p>
    <w:p>
      <w:pPr>
        <w:pStyle w:val="ListBullet"/>
      </w:pPr>
      <w:r/>
      <w:r>
        <w:rPr>
          <w:rFonts w:ascii="Consolas" w:hAnsi="Consolas"/>
          <w:sz w:val="18"/>
        </w:rPr>
        <w:t>legacy-behaviour-disposition</w:t>
      </w:r>
      <w:r/>
    </w:p>
    <w:p>
      <w:pPr>
        <w:pStyle w:val="ListBullet"/>
      </w:pPr>
      <w:r/>
      <w:r>
        <w:rPr>
          <w:rFonts w:ascii="Consolas" w:hAnsi="Consolas"/>
          <w:sz w:val="18"/>
        </w:rPr>
        <w:t>measurement-validity</w:t>
      </w:r>
      <w:r/>
    </w:p>
    <w:p>
      <w:pPr>
        <w:pStyle w:val="ListBullet"/>
      </w:pPr>
      <w:r/>
      <w:r>
        <w:rPr>
          <w:rFonts w:ascii="Consolas" w:hAnsi="Consolas"/>
          <w:sz w:val="18"/>
        </w:rPr>
        <w:t>model-routing-policy</w:t>
      </w:r>
      <w:r/>
    </w:p>
    <w:p>
      <w:pPr>
        <w:pStyle w:val="ListBullet"/>
      </w:pPr>
      <w:r/>
      <w:r>
        <w:rPr>
          <w:rFonts w:ascii="Consolas" w:hAnsi="Consolas"/>
          <w:sz w:val="18"/>
        </w:rPr>
        <w:t>model-spend-approval</w:t>
      </w:r>
      <w:r/>
    </w:p>
    <w:p>
      <w:pPr>
        <w:pStyle w:val="ListBullet"/>
      </w:pPr>
      <w:r/>
      <w:r>
        <w:rPr>
          <w:rFonts w:ascii="Consolas" w:hAnsi="Consolas"/>
          <w:sz w:val="18"/>
        </w:rPr>
        <w:t>normalization</w:t>
      </w:r>
      <w:r/>
    </w:p>
    <w:p>
      <w:pPr>
        <w:pStyle w:val="ListBullet"/>
      </w:pPr>
      <w:r/>
      <w:r>
        <w:rPr>
          <w:rFonts w:ascii="Consolas" w:hAnsi="Consolas"/>
          <w:sz w:val="18"/>
        </w:rPr>
        <w:t>partner-share</w:t>
      </w:r>
      <w:r/>
    </w:p>
    <w:p>
      <w:pPr>
        <w:pStyle w:val="ListBullet"/>
      </w:pPr>
      <w:r/>
      <w:r>
        <w:rPr>
          <w:rFonts w:ascii="Consolas" w:hAnsi="Consolas"/>
          <w:sz w:val="18"/>
        </w:rPr>
        <w:t>pilot-slice-approval</w:t>
      </w:r>
      <w:r/>
    </w:p>
    <w:p>
      <w:pPr>
        <w:pStyle w:val="ListBullet"/>
      </w:pPr>
      <w:r/>
      <w:r>
        <w:rPr>
          <w:rFonts w:ascii="Consolas" w:hAnsi="Consolas"/>
          <w:sz w:val="18"/>
        </w:rPr>
        <w:t>procedure-equivalence-policy</w:t>
      </w:r>
      <w:r/>
    </w:p>
    <w:p>
      <w:pPr>
        <w:pStyle w:val="ListBullet"/>
      </w:pPr>
      <w:r/>
      <w:r>
        <w:rPr>
          <w:rFonts w:ascii="Consolas" w:hAnsi="Consolas"/>
          <w:sz w:val="18"/>
        </w:rPr>
        <w:t>qualification-acceptance</w:t>
      </w:r>
      <w:r/>
    </w:p>
    <w:p>
      <w:pPr>
        <w:pStyle w:val="ListBullet"/>
      </w:pPr>
      <w:r/>
      <w:r>
        <w:rPr>
          <w:rFonts w:ascii="Consolas" w:hAnsi="Consolas"/>
          <w:sz w:val="18"/>
        </w:rPr>
        <w:t>reference-approval</w:t>
      </w:r>
      <w:r/>
    </w:p>
    <w:p>
      <w:pPr>
        <w:pStyle w:val="ListBullet"/>
      </w:pPr>
      <w:r/>
      <w:r>
        <w:rPr>
          <w:rFonts w:ascii="Consolas" w:hAnsi="Consolas"/>
          <w:sz w:val="18"/>
        </w:rPr>
        <w:t>requalification-request</w:t>
      </w:r>
      <w:r/>
    </w:p>
    <w:p>
      <w:pPr>
        <w:pStyle w:val="ListBullet"/>
      </w:pPr>
      <w:r/>
      <w:r>
        <w:rPr>
          <w:rFonts w:ascii="Consolas" w:hAnsi="Consolas"/>
          <w:sz w:val="18"/>
        </w:rPr>
        <w:t>resume</w:t>
      </w:r>
      <w:r/>
    </w:p>
    <w:p>
      <w:pPr>
        <w:pStyle w:val="ListBullet"/>
      </w:pPr>
      <w:r/>
      <w:r>
        <w:rPr>
          <w:rFonts w:ascii="Consolas" w:hAnsi="Consolas"/>
          <w:sz w:val="18"/>
        </w:rPr>
        <w:t>rule-approval</w:t>
      </w:r>
      <w:r/>
    </w:p>
    <w:p>
      <w:pPr>
        <w:pStyle w:val="ListBullet"/>
      </w:pPr>
      <w:r/>
      <w:r>
        <w:rPr>
          <w:rFonts w:ascii="Consolas" w:hAnsi="Consolas"/>
          <w:sz w:val="18"/>
        </w:rPr>
        <w:t>rule-retirement</w:t>
      </w:r>
      <w:r/>
    </w:p>
    <w:p>
      <w:pPr>
        <w:pStyle w:val="ListBullet"/>
      </w:pPr>
      <w:r/>
      <w:r>
        <w:rPr>
          <w:rFonts w:ascii="Consolas" w:hAnsi="Consolas"/>
          <w:sz w:val="18"/>
        </w:rPr>
        <w:t>rule-technical-review</w:t>
      </w:r>
      <w:r/>
    </w:p>
    <w:p>
      <w:pPr>
        <w:pStyle w:val="ListBullet"/>
      </w:pPr>
      <w:r/>
      <w:r>
        <w:rPr>
          <w:rFonts w:ascii="Consolas" w:hAnsi="Consolas"/>
          <w:sz w:val="18"/>
        </w:rPr>
        <w:t>scenario-threshold-approval</w:t>
      </w:r>
      <w:r/>
    </w:p>
    <w:p>
      <w:pPr>
        <w:pStyle w:val="ListBullet"/>
      </w:pPr>
      <w:r/>
      <w:r>
        <w:rPr>
          <w:rFonts w:ascii="Consolas" w:hAnsi="Consolas"/>
          <w:sz w:val="18"/>
        </w:rPr>
        <w:t>twin-human-review</w:t>
      </w:r>
      <w:r/>
    </w:p>
    <w:p>
      <w:pPr>
        <w:pStyle w:val="ListBullet"/>
      </w:pPr>
      <w:r/>
      <w:r>
        <w:rPr>
          <w:rFonts w:ascii="Consolas" w:hAnsi="Consolas"/>
          <w:sz w:val="18"/>
        </w:rPr>
        <w:t>verify-attempt-review</w:t>
      </w:r>
      <w:r/>
    </w:p>
    <w:p>
      <w:pPr>
        <w:pStyle w:val="ListBullet"/>
      </w:pPr>
      <w:r/>
      <w:r>
        <w:rPr>
          <w:rFonts w:ascii="Consolas" w:hAnsi="Consolas"/>
          <w:sz w:val="18"/>
        </w:rPr>
        <w:t>verify-budget-increase</w:t>
      </w:r>
      <w:r/>
    </w:p>
    <w:p>
      <w:pPr>
        <w:pStyle w:val="ListBullet"/>
      </w:pPr>
      <w:r/>
      <w:r>
        <w:rPr>
          <w:rFonts w:ascii="Consolas" w:hAnsi="Consolas"/>
          <w:sz w:val="18"/>
        </w:rPr>
        <w:t>verify-graph-projection</w:t>
      </w:r>
      <w:r/>
    </w:p>
    <w:p>
      <w:pPr>
        <w:pStyle w:val="ListBullet"/>
      </w:pPr>
      <w:r/>
      <w:r>
        <w:rPr>
          <w:rFonts w:ascii="Consolas" w:hAnsi="Consolas"/>
          <w:sz w:val="18"/>
        </w:rPr>
        <w:t>verify-normalization</w:t>
      </w:r>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Operator manual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LIGHTYEAR  /  CONTROL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line="259"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0" w:line="240" w:lineRule="auto"/>
    </w:pPr>
    <w:rPr>
      <w:rFonts w:ascii="Consolas" w:hAnsi="Consolas"/>
      <w:sz w:val="16"/>
    </w:rPr>
  </w:style>
  <w:style w:type="paragraph" w:customStyle="1" w:styleId="Small">
    <w:name w:val="Smal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ainframe/carddemo-zos-tower.md#workspace-and-identities" TargetMode="External"/><Relationship Id="rId12" Type="http://schemas.openxmlformats.org/officeDocument/2006/relationships/hyperlink" Target="https://github.com/howardweale/lightyear-carddemo-modernization/blob/main/docs/mainframe/monday-runbook.md#prepare-once-before-delivery" TargetMode="External"/><Relationship Id="rId13" Type="http://schemas.openxmlformats.org/officeDocument/2006/relationships/hyperlink" Target="https://github.com/howardweale/lightyear-carddemo-modernization/blob/main/docs/mainframe/monday-runbook.md#delivery-contract" TargetMode="External"/><Relationship Id="rId14" Type="http://schemas.openxmlformats.org/officeDocument/2006/relationships/hyperlink" Target="https://github.com/howardweale/lightyear-carddemo-modernization/blob/main/docs/mainframe/carddemo-zos-tower.md#request-contracts-and-decisions" TargetMode="External"/><Relationship Id="rId15" Type="http://schemas.openxmlformats.org/officeDocument/2006/relationships/hyperlink" Target="https://github.com/howardweale/lightyear-carddemo-modernization/blob/main/docs/verify/graph-activation-checklist.md" TargetMode="External"/><Relationship Id="rId16" Type="http://schemas.openxmlformats.org/officeDocument/2006/relationships/hyperlink" Target="https://github.com/howardweale/lightyear-carddemo-modernization/blob/main/docs/mainframe/carddemo-zos-tower.md" TargetMode="External"/><Relationship Id="rId17" Type="http://schemas.openxmlformats.org/officeDocument/2006/relationships/hyperlink" Target="https://github.com/howardweale/lightyear-carddemo-modernization/blob/main/docs/mainframe/monday-runbook.md" TargetMode="External"/><Relationship Id="rId18" Type="http://schemas.openxmlformats.org/officeDocument/2006/relationships/hyperlink" Target="https://github.com/howardweale/lightyear-carddemo-modernization/blob/main/docs/control-tower-decision-console.md" TargetMode="External"/><Relationship Id="rId19" Type="http://schemas.openxmlformats.org/officeDocument/2006/relationships/hyperlink" Target="https://github.com/howardweale/lightyear-carddemo-modernization/blob/main/docs/control-tower-factory-scope.md" TargetMode="External"/><Relationship Id="rId20" Type="http://schemas.openxmlformats.org/officeDocument/2006/relationships/hyperlink" Target="https://github.com/howardweale/lightyear-carddemo-modernization/blob/main/docs/factory/tower-dual-run-plan.md" TargetMode="External"/><Relationship Id="rId21" Type="http://schemas.openxmlformats.org/officeDocument/2006/relationships/hyperlink" Target="https://github.com/howardweale/lightyear-carddemo-modernization/blob/main/docs/factory/tower-zdt-plan.md" TargetMode="External"/><Relationship Id="rId22" Type="http://schemas.openxmlformats.org/officeDocument/2006/relationships/hyperlink" Target="https://github.com/howardweale/lightyear-carddemo-modernization/blob/main/docs/factory/tower-b07-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Tower user manual</dc:title>
  <dc:subject>Factory scope and scoped signed-decision review</dc:subject>
  <dc:creator>Lightyear</dc:creator>
  <cp:keywords/>
  <dc:description>generated by python-docx</dc:description>
  <cp:lastModifiedBy/>
  <cp:revision>1</cp:revision>
  <dcterms:created xsi:type="dcterms:W3CDTF">2013-12-23T23:15:00Z</dcterms:created>
  <dcterms:modified xsi:type="dcterms:W3CDTF">2013-12-23T23:15:00Z</dcterms:modified>
  <cp:category/>
</cp:coreProperties>
</file>