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#53 - CloudBank Modern Oracle Reference Estate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0.53.0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#53 - CloudBank Modern Oracle Reference Estate converts a specific part of the LIGHTYEAR modernization approach into a governed, reviewable capability. Lets operators select an already-modern Oracle microservices estate and see the exact database, transaction, messaging, identity, and operational risks an autonomous factory must resolve before moving it to PostgreSQL or another relational target.</w:t>
      </w:r>
    </w:p>
    <w:p>
      <w:pPr>
        <w:pStyle w:val="Heading1"/>
      </w:pPr>
      <w:r>
        <w:t>Why this matters to a customer</w:t>
      </w:r>
    </w:p>
    <w:p>
      <w:r>
        <w:t>Lets operators select an already-modern Oracle microservices estate and see the exact database, transaction, messaging, identity, and operational risks an autonomous factory must resolve before moving it to PostgreSQL or another relational target.</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An exact pin of Oracle's official CloudBank v5 reference application at commit 4f41b16d00c45503f691836fee8138010c969e86 with tree and UPL-1.0 license identities.</w:t>
      </w:r>
    </w:p>
    <w:p>
      <w:pPr>
        <w:pStyle w:val="ListBullet"/>
      </w:pPr>
      <w:r>
        <w:t>A reproducible static inventory of 189 files, 70 Java source units, ten Maven modules, ten deployable units, nine SQL files, and 62 Spring/JAX-RS endpoint annotations.</w:t>
      </w:r>
    </w:p>
    <w:p>
      <w:pPr>
        <w:pStyle w:val="ListBullet"/>
      </w:pPr>
      <w:r>
        <w:t>A selectable CloudBank Reference Estate company context alongside CardDemo and Oracle Customer (Large).</w:t>
      </w:r>
    </w:p>
    <w:p>
      <w:pPr>
        <w:pStyle w:val="ListBullet"/>
      </w:pPr>
      <w:r>
        <w:t>Five business workloads covering customer/accounts, money transfer, cheque processing, identity/authorization, and credit scoring.</w:t>
      </w:r>
    </w:p>
    <w:p>
      <w:pPr>
        <w:pStyle w:val="ListBullet"/>
      </w:pPr>
      <w:r>
        <w:t>Twenty curated migration-risk scenarios spanning Oracle schema semantics, LRA compensation, transactional messaging, security, audit triggers, nondeterminism, and operations.</w:t>
      </w:r>
    </w:p>
    <w:p>
      <w:pPr>
        <w:pStyle w:val="ListBullet"/>
      </w:pPr>
      <w:r>
        <w:t>Explicit PostgreSQL, PostgreSQL-compatible distributed SQL, and other adapter-qualified relational candidate lanes with no prematurely selected target.</w:t>
      </w:r>
    </w:p>
    <w:p>
      <w:pPr>
        <w:pStyle w:val="ListBullet"/>
      </w:pPr>
      <w:r>
        <w:t>A deterministic content-addressed graph fragment and receipt composed with the existing PL/I and Oracle Customer (Large) fragments.</w:t>
      </w:r>
    </w:p>
    <w:p>
      <w:pPr>
        <w:pStyle w:val="ListBullet"/>
      </w:pPr>
      <w:r>
        <w:t>Cross-platform launchers, release documentation, deterministic checks, and adversarial target-overclaim rejection.</w:t>
      </w:r>
    </w:p>
    <w:p>
      <w:pPr>
        <w:pStyle w:val="Heading1"/>
      </w:pPr>
      <w:r>
        <w:t>How it differs from earlier work</w:t>
      </w:r>
    </w:p>
    <w:p>
      <w:r>
        <w:t>MS #52 made the enterprise Oracle reference source selectable. MS #53 adds a deliberately different source: Oracle's modern Java and Kubernetes CloudBank v5 application, proving the factory story covers database decoupling in contemporary microservices as well as visibly legacy estates.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modern oracle reference estate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upstream CloudBank source is not vendored, built, or executed.</w:t>
      </w:r>
    </w:p>
    <w:p>
      <w:pPr>
        <w:pStyle w:val="ListBullet"/>
      </w:pPr>
      <w:r>
        <w:t>The inventory and migration-risk projection are static source evidence, not runtime observations.</w:t>
      </w:r>
    </w:p>
    <w:p>
      <w:pPr>
        <w:pStyle w:val="ListBullet"/>
      </w:pPr>
      <w:r>
        <w:t>CloudBank Reference Estate is a public reference estate, not an attached customer system.</w:t>
      </w:r>
    </w:p>
    <w:p>
      <w:pPr>
        <w:pStyle w:val="ListBullet"/>
      </w:pPr>
      <w:r>
        <w:t>Candidate target lanes are options rather than a target selection or database mapping.</w:t>
      </w:r>
    </w:p>
    <w:p>
      <w:pPr>
        <w:pStyle w:val="ListBullet"/>
      </w:pPr>
      <w:r>
        <w:t>No schema conversion, generated application refactoring, dual-run comparison, or native target execution is complete.</w:t>
      </w:r>
    </w:p>
    <w:p>
      <w:pPr>
        <w:pStyle w:val="ListBullet"/>
      </w:pPr>
      <w:r>
        <w:t>PostgreSQL compatibility, target equivalence, application equivalence, migration completion, and production readiness remain false.</w:t>
      </w:r>
    </w:p>
    <w:p>
      <w:pPr>
        <w:pStyle w:val="Heading1"/>
      </w:pPr>
      <w:r>
        <w:t>Source of record</w:t>
      </w:r>
    </w:p>
    <w:p>
      <w:pPr>
        <w:pStyle w:val="ListBullet"/>
      </w:pPr>
      <w:r>
        <w:t>CHANGELOG.md release section(s): 0.53.0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#53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#53 - CloudBank Modern Oracle Reference Estate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