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#20 - Trusted Extension Evidence Contract</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0.20.0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2026-08-26</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#20 - Trusted Extension Evidence Contract converts a specific part of the LIGHTYEAR modernization approach into a governed, reviewable capability. Defines how new language, platform, and adapter capabilities join the factory without bypassing its evidence and trust boundaries.</w:t>
      </w:r>
    </w:p>
    <w:p>
      <w:pPr>
        <w:pStyle w:val="Heading1"/>
      </w:pPr>
      <w:r>
        <w:t>Why this matters to a customer</w:t>
      </w:r>
    </w:p>
    <w:p>
      <w:r>
        <w:t>Defines how new language, platform, and adapter capabilities join the factory without bypassing its evidence and trust boundaries.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versioned adapter evidence envelope that binds every claim to an exact graph identity and classifies evidence as live, recorded, simulated, or inferred.</w:t>
      </w:r>
    </w:p>
    <w:p>
      <w:pPr>
        <w:pStyle w:val="ListBullet"/>
      </w:pPr>
      <w:r>
        <w:t>Added recursive credential redaction, bounded artifact metadata, optional HMAC signatures, and fail-closed validation for drift, tampering, missing graph entities, unsafe scope, and untrusted signing keys.</w:t>
      </w:r>
    </w:p>
    <w:p>
      <w:pPr>
        <w:pStyle w:val="ListBullet"/>
      </w:pPr>
      <w:r>
        <w:t>Added a deterministic record/replay adapter that downgrades live captures to recorded evidence and can never promote simulated or inferred evidence.</w:t>
      </w:r>
    </w:p>
    <w:p>
      <w:pPr>
        <w:pStyle w:val="ListBullet"/>
      </w:pPr>
      <w:r>
        <w:t>Added an adapter registry with implemented fixture, replay, and z/OSMF contracts plus explicit pre-access contracts for Db2 for z/OS catalog and CICS CMCI collectors.</w:t>
      </w:r>
    </w:p>
    <w:p>
      <w:pPr>
        <w:pStyle w:val="ListBullet"/>
      </w:pPr>
      <w:r>
        <w:t>Added a hash-bound graph extension-fragment contract so new language packs do not silently mutate the verified base graph or invalidate downstream audit and runtime evidence.</w:t>
      </w:r>
    </w:p>
    <w:p>
      <w:pPr>
        <w:pStyle w:val="ListBullet"/>
      </w:pPr>
      <w:r>
        <w:t>Added the first PL/I language pack proof for programs, procedures, includes, file access, embedded Db2 SQL, and a mixed-language call into the existing CardDemo COBOL graph.</w:t>
      </w:r>
    </w:p>
    <w:p>
      <w:pPr>
        <w:pStyle w:val="ListBullet"/>
      </w:pPr>
      <w:r>
        <w:t>Added deterministic POSIX and PowerShell verification, JSON schemas, adversarial tests, and committed development receipts while keeping live-mainframe and production-readiness claims blocked.</w:t>
      </w:r>
    </w:p>
    <w:p>
      <w:pPr>
        <w:pStyle w:val="Heading1"/>
      </w:pPr>
      <w:r>
        <w:t>How it differs from earlier work</w:t>
      </w:r>
    </w:p>
    <w:p>
      <w:r>
        <w:t>MS #20 builds on MS #19 (DB2 and Multi-Target Data Modernization). The earlier milestone established its own bounded capability; this milestone adds trusted extension evidence contract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trusted extension evidence contract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#20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#20 - Trusted Extension Evidence Contract</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