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#24 - PL/I Discovery Conformance Lab</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0.24.0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2026-08-27</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#24 - PL/I Discovery Conformance Lab converts a specific part of the LIGHTYEAR modernization approach into a governed, reviewable capability. Replaces plausible text matching with a bounded, testable PL/I discovery capability and explicit unsupported cases.</w:t>
      </w:r>
    </w:p>
    <w:p>
      <w:pPr>
        <w:pStyle w:val="Heading1"/>
      </w:pPr>
      <w:r>
        <w:t>Why this matters to a customer</w:t>
      </w:r>
    </w:p>
    <w:p>
      <w:r>
        <w:t>Replaces plausible text matching with a bounded, testable PL/I discovery capability and explicit unsupported cases.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Replaced the PL/I language pack's line-oriented pattern extraction boundary with a tokenized, statement-aware supported-subset front end that preserves source locations.</w:t>
      </w:r>
    </w:p>
    <w:p>
      <w:pPr>
        <w:pStyle w:val="ListBullet"/>
      </w:pPr>
      <w:r>
        <w:t>Published a content-addressed PL/I support matrix spanning 22 construct categories and explicit unsupported syntax.</w:t>
      </w:r>
    </w:p>
    <w:p>
      <w:pPr>
        <w:pStyle w:val="ListBullet"/>
      </w:pPr>
      <w:r>
        <w:t>Added a synthetic 27-case conformance corpus with 25 program cases, two include cases, five expected blockers, and seven mutation-oriented cases.</w:t>
      </w:r>
    </w:p>
    <w:p>
      <w:pPr>
        <w:pStyle w:val="ListBullet"/>
      </w:pPr>
      <w:r>
        <w:t>Added deterministic golden parse/reference results and a graph-bound coverage receipt recording recognized constructs, explicit gap codes, provenance, and claim boundaries.</w:t>
      </w:r>
    </w:p>
    <w:p>
      <w:pPr>
        <w:pStyle w:val="ListBullet"/>
      </w:pPr>
      <w:r>
        <w:t>Made comments, strings, casing, spacing, continuation lines, missing includes, shadowed calls, malformed comments, unsupported preprocessors, and unsupported storage fail safely.</w:t>
      </w:r>
    </w:p>
    <w:p>
      <w:pPr>
        <w:pStyle w:val="ListBullet"/>
      </w:pPr>
      <w:r>
        <w:t>Upgraded the PL/I pack contract to v1.2 and made the unified capability view depend on the conformance receipt before PL/I discovery can remain ready.</w:t>
      </w:r>
    </w:p>
    <w:p>
      <w:pPr>
        <w:pStyle w:val="ListBullet"/>
      </w:pPr>
      <w:r>
        <w:t>Added PL/I breadth metrics to the customer/auditor projection while explicitly labelling the corpus synthetic, non-customer, and non-runtime evidence.</w:t>
      </w:r>
    </w:p>
    <w:p>
      <w:pPr>
        <w:pStyle w:val="ListBullet"/>
      </w:pPr>
      <w:r>
        <w:t>Added Bash and PowerShell conformance entry points plus fail-closed tamper, graph-drift, and overclaim tests.</w:t>
      </w:r>
    </w:p>
    <w:p>
      <w:pPr>
        <w:pStyle w:val="ListBullet"/>
      </w:pPr>
      <w:r>
        <w:t>Kept authorized z/OS execution, IBM compiler equivalence, arbitrary Enterprise PL/I support, mainframe equivalence, and production readiness blocked.</w:t>
      </w:r>
    </w:p>
    <w:p>
      <w:pPr>
        <w:pStyle w:val="Heading1"/>
      </w:pPr>
      <w:r>
        <w:t>How it differs from earlier work</w:t>
      </w:r>
    </w:p>
    <w:p>
      <w:r>
        <w:t>MS #24 builds on MS #23 (Stable Composite Estate and Developer Golden Path). The earlier milestone established its own bounded capability; this milestone adds pl/i discovery conformance lab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pl/i discovery conformance lab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0.24.0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#24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#24 - PL/I Discovery Conformance Lab</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