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#26 - Multi-Workload Factory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0.26.0, 0.26.1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 to 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#26 - Multi-Workload Factory Qualification converts a specific part of the LIGHTYEAR modernization approach into a governed, reviewable capability. Expands factory evaluation beyond one demonstration workload and calibrates qualification across different modernization patterns.</w:t>
      </w:r>
    </w:p>
    <w:p>
      <w:pPr>
        <w:pStyle w:val="Heading1"/>
      </w:pPr>
      <w:r>
        <w:t>Why this matters to a customer</w:t>
      </w:r>
    </w:p>
    <w:p>
      <w:r>
        <w:t>Expands factory evaluation beyond one demonstration workload and calibrates qualification across different modernization patterns.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trusted workload profiles and public calibration catalogs for INTCALC, POSTTRAN, CREASTMT, and the mixed PL/I-COBOL-Db2 ACCTPL1 cell.</w:t>
      </w:r>
    </w:p>
    <w:p>
      <w:pPr>
        <w:pStyle w:val="ListBullet"/>
      </w:pPr>
      <w:r>
        <w:t>Added workload-specific private gates and deterministic repairs covering 23 published mutations plus eight clean accept-unchanged cases with zero false acceptance.</w:t>
      </w:r>
    </w:p>
    <w:p>
      <w:pPr>
        <w:pStyle w:val="ListBullet"/>
      </w:pPr>
      <w:r>
        <w:t>Added a content-addressed qualification manifest and safety-first aggregate receipt requiring at least two distinct sealed model runs per workload.</w:t>
      </w:r>
    </w:p>
    <w:p>
      <w:pPr>
        <w:pStyle w:val="ListBullet"/>
      </w:pPr>
      <w:r>
        <w:t>Bound qualification to exact evaluation, factory-run, model-call, request-manifest, portfolio, approval, checkpoint, latency, token, retry, resume, and cost evidence.</w:t>
      </w:r>
    </w:p>
    <w:p>
      <w:pPr>
        <w:pStyle w:val="ListBullet"/>
      </w:pPr>
      <w:r>
        <w:t>Made one critical false acceptance block promotion regardless of aggregate repair rate.</w:t>
      </w:r>
    </w:p>
    <w:p>
      <w:pPr>
        <w:pStyle w:val="ListBullet"/>
      </w:pPr>
      <w:r>
        <w:t>Expanded the portfolio to four work cells with graph/dependency conflict detection, two parallel waves, high-risk approval barriers, and checkpointed recovery that does not repeat passed cells.</w:t>
      </w:r>
    </w:p>
    <w:p>
      <w:pPr>
        <w:pStyle w:val="ListBullet"/>
      </w:pPr>
      <w:r>
        <w:t>Added POSIX and PowerShell verification/qualification entry points and versioned JSON schemas.</w:t>
      </w:r>
    </w:p>
    <w:p>
      <w:pPr>
        <w:pStyle w:val="ListBullet"/>
      </w:pPr>
      <w:r>
        <w:t>Kept model qualification, production authorization, native z/OS equivalence, and general workload coverage as separate claims; no model is qualified by committed public calibration.</w:t>
      </w:r>
    </w:p>
    <w:p>
      <w:pPr>
        <w:pStyle w:val="ListBullet"/>
      </w:pPr>
      <w:r>
        <w:t>Added a fail-closed bridge for the exact retained v0.12 live OpenAI evaluation archive.</w:t>
      </w:r>
    </w:p>
    <w:p>
      <w:pPr>
        <w:pStyle w:val="ListBullet"/>
      </w:pPr>
      <w:r>
        <w:t>Pinned the external archive and evaluation identities without committing the archive, credentials, raw prompts, or raw model responses.</w:t>
      </w:r>
    </w:p>
    <w:p>
      <w:pPr>
        <w:pStyle w:val="ListBullet"/>
      </w:pPr>
      <w:r>
        <w:t>Verified legacy content hashes, artifact references, event-ledger chaining, model-call provenance, workspace reconstruction, and original baseline/final gate decisions.</w:t>
      </w:r>
    </w:p>
    <w:p>
      <w:pPr>
        <w:pStyle w:val="ListBullet"/>
      </w:pPr>
      <w:r>
        <w:t>Published a schema-validated historical receipt and made it visible in the model-evidence dashboard.</w:t>
      </w:r>
    </w:p>
    <w:p>
      <w:pPr>
        <w:pStyle w:val="ListBullet"/>
      </w:pPr>
      <w:r>
        <w:t>Kept public calibration, legacy schema, missing independent sealing, current-manifest gaps, token policy, workload repetition, and portfolio approval as explicit qualification blockers.</w:t>
      </w:r>
    </w:p>
    <w:p>
      <w:pPr>
        <w:pStyle w:val="ListBullet"/>
      </w:pPr>
      <w:r>
        <w:t>Added Bash and PowerShell import commands plus tamper, secret, relabelling, traversal, and manifest- drift regression tests.</w:t>
      </w:r>
    </w:p>
    <w:p>
      <w:pPr>
        <w:pStyle w:val="Heading1"/>
      </w:pPr>
      <w:r>
        <w:t>How it differs from earlier work</w:t>
      </w:r>
    </w:p>
    <w:p>
      <w:r>
        <w:t>MS #26 builds on MS #25 (Reproducible PL/I Build Attestation). The earlier milestone established its own bounded capability; this milestone adds multi-workload factory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multi-workload factory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Expanded the portfolio to four work cells with graph/dependency conflict detection, two parallel waves, high-risk approval barriers, and checkpointed recovery that does not repeat passed cells.</w:t>
      </w:r>
    </w:p>
    <w:p>
      <w:pPr>
        <w:pStyle w:val="Heading1"/>
      </w:pPr>
      <w:r>
        <w:t>Source of record</w:t>
      </w:r>
    </w:p>
    <w:p>
      <w:pPr>
        <w:pStyle w:val="ListBullet"/>
      </w:pPr>
      <w:r>
        <w:t>CHANGELOG.md release section(s): 0.26.0, 0.26.1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#26 - Multi-Workload Factory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