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#50 - Oracle Semantic Coverage Program</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0.50.0, 0.50.1, 0.50.2, 0.50.3</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#50 - Oracle Semantic Coverage Program converts a specific part of the LIGHTYEAR modernization approach into a governed, reviewable capability. Gives database architects a quantified, evidence-levelled Oracle coverage answer and advances it through broad core SQL, datatype, PL/SQL, transaction, and CDC execution tranches.</w:t>
      </w:r>
    </w:p>
    <w:p>
      <w:pPr>
        <w:pStyle w:val="Heading1"/>
      </w:pPr>
      <w:r>
        <w:t>Why this matters to a customer</w:t>
      </w:r>
    </w:p>
    <w:p>
      <w:r>
        <w:t>Gives database architects a quantified, evidence-levelled Oracle coverage answer and advances it through broad core SQL, datatype, PL/SQL, transaction, and CDC execution tranches.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catalog of 500 stable Oracle behavior contracts and 2,000 case specifications across ten exact domains.</w:t>
      </w:r>
    </w:p>
    <w:p>
      <w:pPr>
        <w:pStyle w:val="ListBullet"/>
      </w:pPr>
      <w:r>
        <w:t>Bounded execution of 920 governed core SQL/type cases, 320 PL/SQL cases, and 280 transaction and operations cases.</w:t>
      </w:r>
    </w:p>
    <w:p>
      <w:pPr>
        <w:pStyle w:val="ListBullet"/>
      </w:pPr>
      <w:r>
        <w:t>Transaction and operations coverage spanning commit, rollback, savepoints, isolation, locks, deadlocks, redo/LogMiner, metadata, session state, privileges, and diagnostics.</w:t>
      </w:r>
    </w:p>
    <w:p>
      <w:pPr>
        <w:pStyle w:val="ListBullet"/>
      </w:pPr>
      <w:r>
        <w:t>Separately declared expectations and independently computed observations across 76 topic families, five behavior focuses, and four case dimensions.</w:t>
      </w:r>
    </w:p>
    <w:p>
      <w:pPr>
        <w:pStyle w:val="ListBullet"/>
      </w:pPr>
      <w:r>
        <w:t>A deduplicated evidence ladder reporting 500 catalogued, 380 catalog-executed, 381 unique bounded-model verified, 0 native-verified, and 0 target-equivalent behaviors.</w:t>
      </w:r>
    </w:p>
    <w:p>
      <w:pPr>
        <w:pStyle w:val="ListBullet"/>
      </w:pPr>
      <w:r>
        <w:t>Native execution plans plus deterministic artifacts, eight JSON Schemas, cross-platform verification, and adversarial dependency-drift, mutation, overlap, and overclaim tests.</w:t>
      </w:r>
    </w:p>
    <w:p>
      <w:pPr>
        <w:pStyle w:val="Heading1"/>
      </w:pPr>
      <w:r>
        <w:t>How it differs from earlier work</w:t>
      </w:r>
    </w:p>
    <w:p>
      <w:r>
        <w:t>MS #49 proved the mechanism with eight fixtures and 24 cases. MS #50.0 made them bootstrap evidence inside a governed broad-coverage program; MS #50.1 executes 920 core SQL/type cases, MS #50.2 executes 320 PL/SQL cases, and MS #50.3 executes 280 transaction and operations cases without promoting bounded-model evidence into native Oracle proof.</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 semantic coverage program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1,520 passed catalog cases are deterministic bounded-model evidence; they do not constitute native Oracle execution or conformance.</w:t>
      </w:r>
    </w:p>
    <w:p>
      <w:pPr>
        <w:pStyle w:val="ListBullet"/>
      </w:pPr>
      <w:r>
        <w:t>The remaining 480 catalog cases have not executed.</w:t>
      </w:r>
    </w:p>
    <w:p>
      <w:pPr>
        <w:pStyle w:val="ListBullet"/>
      </w:pPr>
      <w:r>
        <w:t>The 24 MS #49 bootstrap runs remain separate evidence records; seven behavior bindings overlap executed catalog tranches and the LOB binding remains bootstrap-only.</w:t>
      </w:r>
    </w:p>
    <w:p>
      <w:pPr>
        <w:pStyle w:val="ListBullet"/>
      </w:pPr>
      <w:r>
        <w:t>Concurrency schedules, locks, redo/SCN, LogMiner, metadata visibility, privilege enforcement, and diagnostic observations are bounded simulations, not native platform evidence.</w:t>
      </w:r>
    </w:p>
    <w:p>
      <w:pPr>
        <w:pStyle w:val="ListBullet"/>
      </w:pPr>
      <w:r>
        <w:t>No native Oracle 19c or 26ai execution receipt exists.</w:t>
      </w:r>
    </w:p>
    <w:p>
      <w:pPr>
        <w:pStyle w:val="ListBullet"/>
      </w:pPr>
      <w:r>
        <w:t>Catalogued is not supported; bounded-model verified is not native conformant; native verified is not target equivalent.</w:t>
      </w:r>
    </w:p>
    <w:p>
      <w:pPr>
        <w:pStyle w:val="ListBullet"/>
      </w:pPr>
      <w:r>
        <w:t>iDempiere projection, CloudBank mapping, application equivalence, migration completion, and production readiness remain false.</w:t>
      </w:r>
    </w:p>
    <w:p>
      <w:pPr>
        <w:pStyle w:val="Heading1"/>
      </w:pPr>
      <w:r>
        <w:t>Source of record</w:t>
      </w:r>
    </w:p>
    <w:p>
      <w:pPr>
        <w:pStyle w:val="ListBullet"/>
      </w:pPr>
      <w:r>
        <w:t>CHANGELOG.md release section(s): 0.50.0, 0.50.1, 0.50.2, 0.50.3</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#50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#50 - Oracle Semantic Coverage Program</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