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9A6B16"/>
          <w:sz w:val="18"/>
        </w:rPr>
        <w:t>CUSTOMER MILESTONE BRIEF</w:t>
      </w:r>
    </w:p>
    <w:p>
      <w:pPr>
        <w:spacing w:after="160"/>
      </w:pPr>
      <w:r>
        <w:rPr>
          <w:rFonts w:ascii="Calibri" w:hAnsi="Calibri"/>
          <w:b/>
          <w:color w:val="0B2545"/>
          <w:sz w:val="56"/>
        </w:rPr>
        <w:t>MS #13 - Sealed Quality Gates</w:t>
      </w:r>
    </w:p>
    <w:p>
      <w:pPr>
        <w:spacing w:after="360"/>
      </w:pPr>
      <w:r>
        <w:rPr>
          <w:rFonts w:ascii="Calibri" w:hAnsi="Calibri"/>
          <w:color w:val="4B5563"/>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F2F4F7"/>
          </w:tcPr>
          <w:p>
            <w:r>
              <w:rPr>
                <w:rFonts w:ascii="Calibri" w:hAnsi="Calibri"/>
                <w:b/>
                <w:color w:val="1F4D78"/>
              </w:rPr>
              <w:t>Status</w:t>
            </w:r>
          </w:p>
        </w:tc>
        <w:tc>
          <w:tcPr>
            <w:tcW w:type="dxa" w:w="6660"/>
            <w:tcMar>
              <w:top w:w="80" w:type="dxa"/>
              <w:bottom w:w="80" w:type="dxa"/>
              <w:start w:w="120" w:type="dxa"/>
              <w:end w:w="120" w:type="dxa"/>
            </w:tcMar>
            <w:vAlign w:val="center"/>
          </w:tcPr>
          <w:p>
            <w:r>
              <w:rPr>
                <w:rFonts w:ascii="Calibri" w:hAnsi="Calibri"/>
              </w:rPr>
              <w:t>Complete</w:t>
            </w:r>
          </w:p>
        </w:tc>
      </w:tr>
      <w:tr>
        <w:tc>
          <w:tcPr>
            <w:tcW w:type="dxa" w:w="2700"/>
            <w:tcMar>
              <w:top w:w="80" w:type="dxa"/>
              <w:bottom w:w="80" w:type="dxa"/>
              <w:start w:w="120" w:type="dxa"/>
              <w:end w:w="120" w:type="dxa"/>
            </w:tcMar>
            <w:vAlign w:val="center"/>
            <w:shd w:fill="F2F4F7"/>
          </w:tcPr>
          <w:p>
            <w:r>
              <w:rPr>
                <w:rFonts w:ascii="Calibri" w:hAnsi="Calibri"/>
                <w:b/>
                <w:color w:val="1F4D78"/>
              </w:rPr>
              <w:t>Release</w:t>
            </w:r>
          </w:p>
        </w:tc>
        <w:tc>
          <w:tcPr>
            <w:tcW w:type="dxa" w:w="6660"/>
            <w:tcMar>
              <w:top w:w="80" w:type="dxa"/>
              <w:bottom w:w="80" w:type="dxa"/>
              <w:start w:w="120" w:type="dxa"/>
              <w:end w:w="120" w:type="dxa"/>
            </w:tcMar>
            <w:vAlign w:val="center"/>
          </w:tcPr>
          <w:p>
            <w:r>
              <w:rPr>
                <w:rFonts w:ascii="Calibri" w:hAnsi="Calibri"/>
              </w:rPr>
              <w:t>0.13.0</w:t>
            </w:r>
          </w:p>
        </w:tc>
      </w:tr>
      <w:tr>
        <w:tc>
          <w:tcPr>
            <w:tcW w:type="dxa" w:w="2700"/>
            <w:tcMar>
              <w:top w:w="80" w:type="dxa"/>
              <w:bottom w:w="80" w:type="dxa"/>
              <w:start w:w="120" w:type="dxa"/>
              <w:end w:w="120" w:type="dxa"/>
            </w:tcMar>
            <w:vAlign w:val="center"/>
            <w:shd w:fill="F2F4F7"/>
          </w:tcPr>
          <w:p>
            <w:r>
              <w:rPr>
                <w:rFonts w:ascii="Calibri" w:hAnsi="Calibri"/>
                <w:b/>
                <w:color w:val="1F4D78"/>
              </w:rPr>
              <w:t>Date</w:t>
            </w:r>
          </w:p>
        </w:tc>
        <w:tc>
          <w:tcPr>
            <w:tcW w:type="dxa" w:w="6660"/>
            <w:tcMar>
              <w:top w:w="80" w:type="dxa"/>
              <w:bottom w:w="80" w:type="dxa"/>
              <w:start w:w="120" w:type="dxa"/>
              <w:end w:w="120" w:type="dxa"/>
            </w:tcMar>
            <w:vAlign w:val="center"/>
          </w:tcPr>
          <w:p>
            <w:r>
              <w:rPr>
                <w:rFonts w:ascii="Calibri" w:hAnsi="Calibri"/>
              </w:rPr>
              <w:t>2026-08-14</w:t>
            </w:r>
          </w:p>
        </w:tc>
      </w:tr>
      <w:tr>
        <w:tc>
          <w:tcPr>
            <w:tcW w:type="dxa" w:w="2700"/>
            <w:tcMar>
              <w:top w:w="80" w:type="dxa"/>
              <w:bottom w:w="80" w:type="dxa"/>
              <w:start w:w="120" w:type="dxa"/>
              <w:end w:w="120" w:type="dxa"/>
            </w:tcMar>
            <w:vAlign w:val="center"/>
            <w:shd w:fill="F2F4F7"/>
          </w:tcPr>
          <w:p>
            <w:r>
              <w:rPr>
                <w:rFonts w:ascii="Calibri" w:hAnsi="Calibri"/>
                <w:b/>
                <w:color w:val="1F4D78"/>
              </w:rPr>
              <w:t>Audience</w:t>
            </w:r>
          </w:p>
        </w:tc>
        <w:tc>
          <w:tcPr>
            <w:tcW w:type="dxa" w:w="6660"/>
            <w:tcMar>
              <w:top w:w="80" w:type="dxa"/>
              <w:bottom w:w="80" w:type="dxa"/>
              <w:start w:w="120" w:type="dxa"/>
              <w:end w:w="120" w:type="dxa"/>
            </w:tcMar>
            <w:vAlign w:val="center"/>
          </w:tcPr>
          <w:p>
            <w:r>
              <w:rPr>
                <w:rFonts w:ascii="Calibri" w:hAnsi="Calibri"/>
              </w:rPr>
              <w:t>Customers, partners, executives, architects, delivery teams, and assurance reviewers</w:t>
            </w:r>
          </w:p>
        </w:tc>
      </w:tr>
    </w:tbl>
    <w:p>
      <w:pPr>
        <w:pStyle w:val="Heading1"/>
      </w:pPr>
      <w:r>
        <w:t>Executive summary</w:t>
      </w:r>
    </w:p>
    <w:p>
      <w:r>
        <w:t>MS #13 - Sealed Quality Gates converts a specific part of the LIGHTYEAR modernization approach into a governed, reviewable capability. Separates public calibration from private qualification and makes promotion depend on signed, threshold-based evidence.</w:t>
      </w:r>
    </w:p>
    <w:p>
      <w:pPr>
        <w:pStyle w:val="Heading1"/>
      </w:pPr>
      <w:r>
        <w:t>Why this matters to a customer</w:t>
      </w:r>
    </w:p>
    <w:p>
      <w:r>
        <w:t>Separates public calibration from private qualification and makes promotion depend on signed, threshold-based evidence.</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HMAC-signed, expiring sealed evaluation envelopes with trusted key IDs, exact catalog identity, tamper detection, and fail-closed admission; a plain relabeled catalog is rejected.</w:t>
      </w:r>
    </w:p>
    <w:p>
      <w:pPr>
        <w:pStyle w:val="ListBullet"/>
      </w:pPr>
      <w:r>
        <w:t>Added opaque holdout case references and privacy-safe receipts that omit private case names, categories, mutation markers, and verifier output from worker artifacts and dashboard APIs.</w:t>
      </w:r>
    </w:p>
    <w:p>
      <w:pPr>
        <w:pStyle w:val="ListBullet"/>
      </w:pPr>
      <w:r>
        <w:t>Added clean accept-unchanged cases so needless edits are measured independently from mutation repair, including correct no-change and false-acceptance outcomes.</w:t>
      </w:r>
    </w:p>
    <w:p>
      <w:pPr>
        <w:pStyle w:val="ListBullet"/>
      </w:pPr>
      <w:r>
        <w:t>Added evidence-selection precision, first-attempt repair, private-leak, unauthorized-edit, token, cost, baseline-rejection, and repair metrics under a versioned quality policy.</w:t>
      </w:r>
    </w:p>
    <w:p>
      <w:pPr>
        <w:pStyle w:val="ListBullet"/>
      </w:pPr>
      <w:r>
        <w:t>Added a promotion-grade quality decision that can qualify only signed sealed evidence meeting every policy threshold; public calibration always remains non-qualifying.</w:t>
      </w:r>
    </w:p>
    <w:p>
      <w:pPr>
        <w:pStyle w:val="ListBullet"/>
      </w:pPr>
      <w:r>
        <w:t>Added safety-first evaluation comparison, cross-platform quality-gate launchers, updated schemas, read-only evaluation APIs, and a Quality Control Tower view.</w:t>
      </w:r>
    </w:p>
    <w:p>
      <w:pPr>
        <w:pStyle w:val="ListBullet"/>
      </w:pPr>
      <w:r>
        <w:t>Added signature, tamper, expiry, wrong-key, clean-case, privacy, policy, comparison, storage, UI, and full-suite regression coverage.</w:t>
      </w:r>
    </w:p>
    <w:p>
      <w:pPr>
        <w:pStyle w:val="Heading1"/>
      </w:pPr>
      <w:r>
        <w:t>How it differs from earlier work</w:t>
      </w:r>
    </w:p>
    <w:p>
      <w:r>
        <w:t>MS #13 builds on MS #12 (Model Workcell and Context Control). The earlier milestone established its own bounded capability; this milestone adds sealed quality gates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sealed quality gates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0.13.0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p>
      <w:pPr>
        <w:spacing w:before="200"/>
      </w:pPr>
      <w:r>
        <w:rPr>
          <w:rFonts w:ascii="Calibri" w:hAnsi="Calibri"/>
          <w:i/>
          <w:color w:val="6B7280"/>
          <w:sz w:val="18"/>
        </w:rPr>
        <w:t>The underlying schemas, receipts, ledgers, tests, and policy decisions remain authoritative when greater detail is required.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B7280"/>
        <w:sz w:val="17"/>
      </w:rPr>
      <w:t xml:space="preserve">MS #13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BE2"/>
      </w:pBdr>
    </w:pPr>
    <w:r>
      <w:rPr>
        <w:rFonts w:ascii="Calibri" w:hAnsi="Calibri"/>
        <w:b/>
        <w:color w:val="6B7280"/>
        <w:sz w:val="17"/>
      </w:rPr>
      <w:t>LIGHTYEAR  |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#13 - Sealed Quality Gates</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