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#18 - CICS, VSAM, IMS, and HLASM Readiness Proofs</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0.18.0, 0.18.1, 0.18.2, 0.18.3, 0.18.4, 0.18.5</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2026-08-21 to 2026-08-22</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#18 - CICS, VSAM, IMS, and HLASM Readiness Proofs converts a specific part of the LIGHTYEAR modernization approach into a governed, reviewable capability. Establishes bounded logical proof cells for key mainframe technologies before the later full qualification milestones.</w:t>
      </w:r>
    </w:p>
    <w:p>
      <w:pPr>
        <w:pStyle w:val="Heading1"/>
      </w:pPr>
      <w:r>
        <w:t>Why this matters to a customer</w:t>
      </w:r>
    </w:p>
    <w:p>
      <w:r>
        <w:t>Establishes bounded logical proof cells for key mainframe technologies before the later full qualification milestones.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deterministic native extraction for CICS CSD transactions, programs, files and mapsets; BMS maps and fields; EXEC CICS command spans; and IDCAMS VSAM clusters, components, alternate indexes and paths, each with exact source evidence.</w:t>
      </w:r>
    </w:p>
    <w:p>
      <w:pPr>
        <w:pStyle w:val="ListBullet"/>
      </w:pPr>
      <w:r>
        <w:t>Added typed routing and lineage relationships from CAVW through COACTVWC, CACTVWA, CICS file resources, and the underlying CardXref, account, and customer VSAM objects.</w:t>
      </w:r>
    </w:p>
    <w:p>
      <w:pPr>
        <w:pStyle w:val="ListBullet"/>
      </w:pPr>
      <w:r>
        <w:t>Curated eight graph-grounded account-view behavior rules and a bounded read-only modernization candidate with an independent private gate and mutation/negative coverage.</w:t>
      </w:r>
    </w:p>
    <w:p>
      <w:pPr>
        <w:pStyle w:val="ListBullet"/>
      </w:pPr>
      <w:r>
        <w:t>Added an operator-safe real-CICS capture contract, redacted artifact manifest, mainframe identity requirements, differential comparator, and fail-closed signed readiness receipt.</w:t>
      </w:r>
    </w:p>
    <w:p>
      <w:pPr>
        <w:pStyle w:val="ListBullet"/>
      </w:pPr>
      <w:r>
        <w:t>Added cross-platform launchers, JSON schemas, an operational runbook, deterministic development evidence, and full verification integration. Local proof cannot satisfy z/OS equivalence.</w:t>
      </w:r>
    </w:p>
    <w:p>
      <w:pPr>
        <w:pStyle w:val="ListBullet"/>
      </w:pPr>
      <w:r>
        <w:t>Added deterministic HLASM parsing for programs, instructions, symbols, branches, macros, DSECTs, and fields.</w:t>
      </w:r>
    </w:p>
    <w:p>
      <w:pPr>
        <w:pStyle w:val="ListBullet"/>
      </w:pPr>
      <w:r>
        <w:t>Added native IMS DBD/PSB parsing for databases, dataset groups, segments, fields, PCBs, sensitive segments, and program-to-PSB bindings.</w:t>
      </w:r>
    </w:p>
    <w:p>
      <w:pPr>
        <w:pStyle w:val="ListBullet"/>
      </w:pPr>
      <w:r>
        <w:t>Added a bounded, source-faithful COBDATFT modernization candidate with private mutation gates.</w:t>
      </w:r>
    </w:p>
    <w:p>
      <w:pPr>
        <w:pStyle w:val="ListBullet"/>
      </w:pPr>
      <w:r>
        <w:t>Added a graph-bound CICS, VSAM, IMS, and HLASM capability projection across readiness gates 1-8.</w:t>
      </w:r>
    </w:p>
    <w:p>
      <w:pPr>
        <w:pStyle w:val="ListBullet"/>
      </w:pPr>
      <w:r>
        <w:t>Kept every technology fail-closed for mainframe equivalence until signed z/OS evidence exists.</w:t>
      </w:r>
    </w:p>
    <w:p>
      <w:pPr>
        <w:pStyle w:val="ListBullet"/>
      </w:pPr>
      <w:r>
        <w:t>Added a bounded logical proof for the CBPAUP0C IMS BMP authorization-expiry workload through PSBPAUTB, PAUTBPCB, DBPAUTP0, PAUTSUM0, and PAUTDTL1.</w:t>
      </w:r>
    </w:p>
    <w:p>
      <w:pPr>
        <w:pStyle w:val="ListBullet"/>
      </w:pPr>
      <w:r>
        <w:t>Curated eight source-grounded rules for BMP routing, hierarchy, GN/GNP traversal, inverted-date expiry, summary adjustments, DLET behavior, checkpoints, and the duplicated approved-count root deletion quirk.</w:t>
      </w:r>
    </w:p>
    <w:p>
      <w:pPr>
        <w:pStyle w:val="ListBullet"/>
      </w:pPr>
      <w:r>
        <w:t>Added a source-faithful candidate, independent private mutation gate, deterministic local capture, differential comparator, z/OS capture contract, operational runbook, and signed IMS readiness receipt.</w:t>
      </w:r>
    </w:p>
    <w:p>
      <w:pPr>
        <w:pStyle w:val="ListBullet"/>
      </w:pPr>
      <w:r>
        <w:t>Advanced IMS readiness gates 3-5 to passed and gate 7 to mechanism-ready while keeping live BMP execution and mainframe equivalence blocked until externally attested z/OS evidence exists.</w:t>
      </w:r>
    </w:p>
    <w:p>
      <w:pPr>
        <w:pStyle w:val="ListBullet"/>
      </w:pPr>
      <w:r>
        <w:t>Added one adaptive PowerShell Python runtime resolver across every Windows entry point, with an explicit LIGHTYEAR_PYTHON override and tested support for Python 3.11 and newer.</w:t>
      </w:r>
    </w:p>
    <w:p>
      <w:pPr>
        <w:pStyle w:val="ListBullet"/>
      </w:pPr>
      <w:r>
        <w:t>Made managed AWS CardDemo checkouts line-ending neutral and added repository-wide Git attributes for stable text and binary handling.</w:t>
      </w:r>
    </w:p>
    <w:p>
      <w:pPr>
        <w:pStyle w:val="ListBullet"/>
      </w:pPr>
      <w:r>
        <w:t>Added dual source identity: raw transport hashes preserve forensic custody while normalized-LF logical hashes drive graph and evidence-pack semantic identity.</w:t>
      </w:r>
    </w:p>
    <w:p>
      <w:pPr>
        <w:pStyle w:val="ListBullet"/>
      </w:pPr>
      <w:r>
        <w:t>Made canonical JSON and Markdown writers emit UTF-8/LF on every platform.</w:t>
      </w:r>
    </w:p>
    <w:p>
      <w:pPr>
        <w:pStyle w:val="ListBullet"/>
      </w:pPr>
      <w:r>
        <w:t>Added Windows and Linux CI plus regression tests for LF/CRLF equivalence, canonical receipt identity, shared launcher adoption, and executable shell entry points.</w:t>
      </w:r>
    </w:p>
    <w:p>
      <w:pPr>
        <w:pStyle w:val="ListBullet"/>
      </w:pPr>
      <w:r>
        <w:t>Replaced dictionary-only comparator indexing with explicit duplicate detection on both expected and actual records, plus independent population-count checks.</w:t>
      </w:r>
    </w:p>
    <w:p>
      <w:pPr>
        <w:pStyle w:val="ListBullet"/>
      </w:pPr>
      <w:r>
        <w:t>Added a three-state differential contract: equivalent exits 0, verified differences exit 1, and comparisons with no evidence return indeterminate and exit 2.</w:t>
      </w:r>
    </w:p>
    <w:p>
      <w:pPr>
        <w:pStyle w:val="ListBullet"/>
      </w:pPr>
      <w:r>
        <w:t>Removed timestamp suppression because the oracle and candidate already receive the same pinned clock; malformed, blank, or different timestamps now fail comparison.</w:t>
      </w:r>
    </w:p>
    <w:p>
      <w:pPr>
        <w:pStyle w:val="ListBullet"/>
      </w:pPr>
      <w:r>
        <w:t>Added a versioned, content-addressed comparison report and an owned normalization ledger.</w:t>
      </w:r>
    </w:p>
    <w:p>
      <w:pPr>
        <w:pStyle w:val="ListBullet"/>
      </w:pPr>
      <w:r>
        <w:t>Made baseline_first, allow_network, and expose_output_to_builder reject quoted or numeric pseudo-booleans; deserialized reports require an exact true before exposing gate output.</w:t>
      </w:r>
    </w:p>
    <w:p>
      <w:pPr>
        <w:pStyle w:val="ListBullet"/>
      </w:pPr>
      <w:r>
        <w:t>Added comparator escape and holdout-boundary suites with positive controls, bare-pytest source discovery, cross-platform verifier launchers, dedicated CI jobs, and a tracked-evidence clean-tree assertion.</w:t>
      </w:r>
    </w:p>
    <w:p>
      <w:pPr>
        <w:pStyle w:val="ListBullet"/>
      </w:pPr>
      <w:r>
        <w:t>Kept the separately observed oracle duplicate-account/CardXref behavior change out of scope until it receives an independent source and z/OS semantics review.</w:t>
      </w:r>
    </w:p>
    <w:p>
      <w:pPr>
        <w:pStyle w:val="ListBullet"/>
      </w:pPr>
      <w:r>
        <w:t>Pinned the direct-construction default for private gate output so a future dataclass-default inversion is rejected even when no JSON deserialization path is involved.</w:t>
      </w:r>
    </w:p>
    <w:p>
      <w:pPr>
        <w:pStyle w:val="ListBullet"/>
      </w:pPr>
      <w:r>
        <w:t>Pinned the comparator's first-observed duplicate diagnostic policy while preserving independent duplicate and population-count failures.</w:t>
      </w:r>
    </w:p>
    <w:p>
      <w:pPr>
        <w:pStyle w:val="ListBullet"/>
      </w:pPr>
      <w:r>
        <w:t>Turned the normalization ledger into an executable governance control: schema, comparator, runtime scope, behavior, owner, reason, and ISO review date are validated fail-closed.</w:t>
      </w:r>
    </w:p>
    <w:p>
      <w:pPr>
        <w:pStyle w:val="ListBullet"/>
      </w:pPr>
      <w:r>
        <w:t>Made a normalization review date expire on the stated date and wired validation into both the focused verifier gauntlet and full cross-platform verification.</w:t>
      </w:r>
    </w:p>
    <w:p>
      <w:pPr>
        <w:pStyle w:val="ListBullet"/>
      </w:pPr>
      <w:r>
        <w:t>Clarified that the tracked-evidence clean-tree assertion is a preventive CI control; it was not remediation of an independently observed artifact-mutation defect.</w:t>
      </w:r>
    </w:p>
    <w:p>
      <w:pPr>
        <w:pStyle w:val="Heading1"/>
      </w:pPr>
      <w:r>
        <w:t>How it differs from earlier work</w:t>
      </w:r>
    </w:p>
    <w:p>
      <w:r>
        <w:t>MS #18 builds on MS #17 (Live Evidence Control Tower). The earlier milestone established its own bounded capability; this milestone adds cics, vsam, ims, and hlasm readiness proofs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cics, vsam, ims, and hlasm readiness proofs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Added cross-platform launchers, JSON schemas, an operational runbook, deterministic development evidence, and full verification integration. Local proof cannot satisfy z/OS equivalence.</w:t>
      </w:r>
    </w:p>
    <w:p>
      <w:pPr>
        <w:pStyle w:val="ListBullet"/>
      </w:pPr>
      <w:r>
        <w:t>Kept every technology fail-closed for mainframe equivalence until signed z/OS evidence exists.</w:t>
      </w:r>
    </w:p>
    <w:p>
      <w:pPr>
        <w:pStyle w:val="Heading1"/>
      </w:pPr>
      <w:r>
        <w:t>Source of record</w:t>
      </w:r>
    </w:p>
    <w:p>
      <w:pPr>
        <w:pStyle w:val="ListBullet"/>
      </w:pPr>
      <w:r>
        <w:t>CHANGELOG.md release section(s): 0.18.0, 0.18.1, 0.18.2, 0.18.3, 0.18.4, 0.18.5</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#18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#18 - CICS, VSAM, IMS, and HLASM Readiness Proofs</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