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9A6B16"/>
          <w:sz w:val="18"/>
        </w:rPr>
        <w:t>CUSTOMER MILESTONE BRIEF</w:t>
      </w:r>
    </w:p>
    <w:p>
      <w:pPr>
        <w:spacing w:after="160"/>
      </w:pPr>
      <w:r>
        <w:rPr>
          <w:rFonts w:ascii="Calibri" w:hAnsi="Calibri"/>
          <w:b/>
          <w:color w:val="0B2545"/>
          <w:sz w:val="56"/>
        </w:rPr>
        <w:t>MS #21 - Mainframe Access Readiness Campaign</w:t>
      </w:r>
    </w:p>
    <w:p>
      <w:pPr>
        <w:spacing w:after="360"/>
      </w:pPr>
      <w:r>
        <w:rPr>
          <w:rFonts w:ascii="Calibri" w:hAnsi="Calibri"/>
          <w:color w:val="4B5563"/>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F2F4F7"/>
          </w:tcPr>
          <w:p>
            <w:r>
              <w:rPr>
                <w:rFonts w:ascii="Calibri" w:hAnsi="Calibri"/>
                <w:b/>
                <w:color w:val="1F4D78"/>
              </w:rPr>
              <w:t>Status</w:t>
            </w:r>
          </w:p>
        </w:tc>
        <w:tc>
          <w:tcPr>
            <w:tcW w:type="dxa" w:w="6660"/>
            <w:tcMar>
              <w:top w:w="80" w:type="dxa"/>
              <w:bottom w:w="80" w:type="dxa"/>
              <w:start w:w="120" w:type="dxa"/>
              <w:end w:w="120" w:type="dxa"/>
            </w:tcMar>
            <w:vAlign w:val="center"/>
          </w:tcPr>
          <w:p>
            <w:r>
              <w:rPr>
                <w:rFonts w:ascii="Calibri" w:hAnsi="Calibri"/>
              </w:rPr>
              <w:t>Complete</w:t>
            </w:r>
          </w:p>
        </w:tc>
      </w:tr>
      <w:tr>
        <w:tc>
          <w:tcPr>
            <w:tcW w:type="dxa" w:w="2700"/>
            <w:tcMar>
              <w:top w:w="80" w:type="dxa"/>
              <w:bottom w:w="80" w:type="dxa"/>
              <w:start w:w="120" w:type="dxa"/>
              <w:end w:w="120" w:type="dxa"/>
            </w:tcMar>
            <w:vAlign w:val="center"/>
            <w:shd w:fill="F2F4F7"/>
          </w:tcPr>
          <w:p>
            <w:r>
              <w:rPr>
                <w:rFonts w:ascii="Calibri" w:hAnsi="Calibri"/>
                <w:b/>
                <w:color w:val="1F4D78"/>
              </w:rPr>
              <w:t>Release</w:t>
            </w:r>
          </w:p>
        </w:tc>
        <w:tc>
          <w:tcPr>
            <w:tcW w:type="dxa" w:w="6660"/>
            <w:tcMar>
              <w:top w:w="80" w:type="dxa"/>
              <w:bottom w:w="80" w:type="dxa"/>
              <w:start w:w="120" w:type="dxa"/>
              <w:end w:w="120" w:type="dxa"/>
            </w:tcMar>
            <w:vAlign w:val="center"/>
          </w:tcPr>
          <w:p>
            <w:r>
              <w:rPr>
                <w:rFonts w:ascii="Calibri" w:hAnsi="Calibri"/>
              </w:rPr>
              <w:t>0.21.0, 0.21.1</w:t>
            </w:r>
          </w:p>
        </w:tc>
      </w:tr>
      <w:tr>
        <w:tc>
          <w:tcPr>
            <w:tcW w:type="dxa" w:w="2700"/>
            <w:tcMar>
              <w:top w:w="80" w:type="dxa"/>
              <w:bottom w:w="80" w:type="dxa"/>
              <w:start w:w="120" w:type="dxa"/>
              <w:end w:w="120" w:type="dxa"/>
            </w:tcMar>
            <w:vAlign w:val="center"/>
            <w:shd w:fill="F2F4F7"/>
          </w:tcPr>
          <w:p>
            <w:r>
              <w:rPr>
                <w:rFonts w:ascii="Calibri" w:hAnsi="Calibri"/>
                <w:b/>
                <w:color w:val="1F4D78"/>
              </w:rPr>
              <w:t>Date</w:t>
            </w:r>
          </w:p>
        </w:tc>
        <w:tc>
          <w:tcPr>
            <w:tcW w:type="dxa" w:w="6660"/>
            <w:tcMar>
              <w:top w:w="80" w:type="dxa"/>
              <w:bottom w:w="80" w:type="dxa"/>
              <w:start w:w="120" w:type="dxa"/>
              <w:end w:w="120" w:type="dxa"/>
            </w:tcMar>
            <w:vAlign w:val="center"/>
          </w:tcPr>
          <w:p>
            <w:r>
              <w:rPr>
                <w:rFonts w:ascii="Calibri" w:hAnsi="Calibri"/>
              </w:rPr>
              <w:t>2026-08-26 to 2026-08-26</w:t>
            </w:r>
          </w:p>
        </w:tc>
      </w:tr>
      <w:tr>
        <w:tc>
          <w:tcPr>
            <w:tcW w:type="dxa" w:w="2700"/>
            <w:tcMar>
              <w:top w:w="80" w:type="dxa"/>
              <w:bottom w:w="80" w:type="dxa"/>
              <w:start w:w="120" w:type="dxa"/>
              <w:end w:w="120" w:type="dxa"/>
            </w:tcMar>
            <w:vAlign w:val="center"/>
            <w:shd w:fill="F2F4F7"/>
          </w:tcPr>
          <w:p>
            <w:r>
              <w:rPr>
                <w:rFonts w:ascii="Calibri" w:hAnsi="Calibri"/>
                <w:b/>
                <w:color w:val="1F4D78"/>
              </w:rPr>
              <w:t>Audience</w:t>
            </w:r>
          </w:p>
        </w:tc>
        <w:tc>
          <w:tcPr>
            <w:tcW w:type="dxa" w:w="6660"/>
            <w:tcMar>
              <w:top w:w="80" w:type="dxa"/>
              <w:bottom w:w="80" w:type="dxa"/>
              <w:start w:w="120" w:type="dxa"/>
              <w:end w:w="120" w:type="dxa"/>
            </w:tcMar>
            <w:vAlign w:val="center"/>
          </w:tcPr>
          <w:p>
            <w:r>
              <w:rPr>
                <w:rFonts w:ascii="Calibri" w:hAnsi="Calibri"/>
              </w:rPr>
              <w:t>Customers, partners, executives, architects, delivery teams, and assurance reviewers</w:t>
            </w:r>
          </w:p>
        </w:tc>
      </w:tr>
    </w:tbl>
    <w:p>
      <w:pPr>
        <w:pStyle w:val="Heading1"/>
      </w:pPr>
      <w:r>
        <w:t>Executive summary</w:t>
      </w:r>
    </w:p>
    <w:p>
      <w:r>
        <w:t>MS #21 - Mainframe Access Readiness Campaign converts a specific part of the LIGHTYEAR modernization approach into a governed, reviewable capability. Turns separate mainframe connectors into one governed, read-only readiness and capability view.</w:t>
      </w:r>
    </w:p>
    <w:p>
      <w:pPr>
        <w:pStyle w:val="Heading1"/>
      </w:pPr>
      <w:r>
        <w:t>Why this matters to a customer</w:t>
      </w:r>
    </w:p>
    <w:p>
      <w:r>
        <w:t>Turns separate mainframe connectors into one governed, read-only readiness and capability view.</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Turned the z/OSMF, Db2 for z/OS catalog, and CICS CMCI contracts into one executable read-only mainframe access campaign with an exact-adapter-set aggregate receipt.</w:t>
      </w:r>
    </w:p>
    <w:p>
      <w:pPr>
        <w:pStyle w:val="ListBullet"/>
      </w:pPr>
      <w:r>
        <w:t>Added a no-redirect, verified-HTTPS, GET-only transport with bounded response reads, external bearer credentials, sanitized failures, and no raw-body retention.</w:t>
      </w:r>
    </w:p>
    <w:p>
      <w:pPr>
        <w:pStyle w:val="ListBullet"/>
      </w:pPr>
      <w:r>
        <w:t>Added IBM-shaped z/OSMF step-data and CICS CMCI resource parsing plus a deliberately bounded customer-approved Db2 catalog REST projection.</w:t>
      </w:r>
    </w:p>
    <w:p>
      <w:pPr>
        <w:pStyle w:val="ListBullet"/>
      </w:pPr>
      <w:r>
        <w:t>Added a credential-free access profile that binds remote observations to exact graph entities and rejects extra adapters, unsafe paths, secret-shaped configuration, and unbounded settings.</w:t>
      </w:r>
    </w:p>
    <w:p>
      <w:pPr>
        <w:pStyle w:val="ListBullet"/>
      </w:pPr>
      <w:r>
        <w:t>Added separate live evidence signing, graph-bound per-adapter envelopes, and aggregate validation for missing, duplicate, mixed-class, invalid, unsigned, or drifted captures.</w:t>
      </w:r>
    </w:p>
    <w:p>
      <w:pPr>
        <w:pStyle w:val="ListBullet"/>
      </w:pPr>
      <w:r>
        <w:t>Added deterministic simulated campaign evidence, POSIX and PowerShell launchers, JSON schemas, a customer access runbook, and adversarial transport/parser/receipt tests.</w:t>
      </w:r>
    </w:p>
    <w:p>
      <w:pPr>
        <w:pStyle w:val="ListBullet"/>
      </w:pPr>
      <w:r>
        <w:t>Kept production_ready: false: passing collection proves bounded read-only observations, not source equivalence, performance, CDC, cutover, rollback, or production promotion.</w:t>
      </w:r>
    </w:p>
    <w:p>
      <w:pPr>
        <w:pStyle w:val="ListBullet"/>
      </w:pPr>
      <w:r>
        <w:t>Replaced the four-cell capability view with one evidence-bound projection spanning runtime, language, and data capabilities: CICS, VSAM, IMS, HLASM, PL/I, and Db2/Data.</w:t>
      </w:r>
    </w:p>
    <w:p>
      <w:pPr>
        <w:pStyle w:val="ListBullet"/>
      </w:pPr>
      <w:r>
        <w:t>Added explicit capability kinds so discovery, development proof, and live-mainframe equivalence are compared without treating languages, runtimes, and data platforms as interchangeable.</w:t>
      </w:r>
    </w:p>
    <w:p>
      <w:pPr>
        <w:pStyle w:val="ListBullet"/>
      </w:pPr>
      <w:r>
        <w:t>Bound the projection to the canonical graph, extension catalog, PL/I fragment, PostgreSQL and Oracle offline receipts, and the mainframe-access campaign receipt.</w:t>
      </w:r>
    </w:p>
    <w:p>
      <w:pPr>
        <w:pStyle w:val="ListBullet"/>
      </w:pPr>
      <w:r>
        <w:t>Made the PL/I reference proof visible as discovery-ready but not development-ready, and made the Db2 multi-target proof visible as development-ready but not live-mainframe-equivalent.</w:t>
      </w:r>
    </w:p>
    <w:p>
      <w:pPr>
        <w:pStyle w:val="ListBullet"/>
      </w:pPr>
      <w:r>
        <w:t>Added the MS #21 access campaign as a separate collection mechanism so simulated collector readiness cannot be mistaken for a technology equivalence gate.</w:t>
      </w:r>
    </w:p>
    <w:p>
      <w:pPr>
        <w:pStyle w:val="ListBullet"/>
      </w:pPr>
      <w:r>
        <w:t>Added stale-evidence and tampered-fragment regression tests while preserving the canonical graph identity and every existing fail-closed production boundary.</w:t>
      </w:r>
    </w:p>
    <w:p>
      <w:pPr>
        <w:pStyle w:val="Heading1"/>
      </w:pPr>
      <w:r>
        <w:t>How it differs from earlier work</w:t>
      </w:r>
    </w:p>
    <w:p>
      <w:r>
        <w:t>MS #21 builds on MS #20 (Trusted Extension Evidence Contract). The earlier milestone established its own bounded capability; this milestone adds mainframe access readiness campaign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mainframe access readiness campaign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0.21.0, 0.21.1</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p>
      <w:pPr>
        <w:spacing w:before="200"/>
      </w:pPr>
      <w:r>
        <w:rPr>
          <w:rFonts w:ascii="Calibri" w:hAnsi="Calibri"/>
          <w:i/>
          <w:color w:val="6B7280"/>
          <w:sz w:val="18"/>
        </w:rPr>
        <w:t>The underlying schemas, receipts, ledgers, tests, and policy decisions remain authoritative when greater detail is required.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MS #21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7DBE2"/>
      </w:pBdr>
    </w:pPr>
    <w:r>
      <w:rPr>
        <w:rFonts w:ascii="Calibri" w:hAnsi="Calibri"/>
        <w:b/>
        <w:color w:val="6B7280"/>
        <w:sz w:val="17"/>
      </w:rPr>
      <w:t>LIGHTYEAR  |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#21 - Mainframe Access Readiness Campaign</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