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#23 - Stable Composite Estate and Developer Golden Path</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0.23.0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2026-08-27</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#23 - Stable Composite Estate and Developer Golden Path converts a specific part of the LIGHTYEAR modernization approach into a governed, reviewable capability. Stabilizes the semantic inputs used to build the estate graph and gives developers one reproducible verification path.</w:t>
      </w:r>
    </w:p>
    <w:p>
      <w:pPr>
        <w:pStyle w:val="Heading1"/>
      </w:pPr>
      <w:r>
        <w:t>Why this matters to a customer</w:t>
      </w:r>
    </w:p>
    <w:p>
      <w:r>
        <w:t>Stabilizes the semantic inputs used to build the estate graph and gives developers one reproducible verification path.</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content-addressed semantic-input manifest that limits canonical modern-source identity to explicitly declared candidates and mappings while retaining fail-closed drift behavior.</w:t>
      </w:r>
    </w:p>
    <w:p>
      <w:pPr>
        <w:pStyle w:val="ListBullet"/>
      </w:pPr>
      <w:r>
        <w:t>Added a deterministic read-only composite estate that overlays validated PL/I nodes and edges on the canonical graph without changing its identity or evidence contract.</w:t>
      </w:r>
    </w:p>
    <w:p>
      <w:pPr>
        <w:pStyle w:val="ListBullet"/>
      </w:pPr>
      <w:r>
        <w:t>Added PL/I relationship ontology coverage and a complete Explorer perspective for ACCTPL1 to CBACT04C and ACCTPL1 to Db2 AUTHFRDS lineage.</w:t>
      </w:r>
    </w:p>
    <w:p>
      <w:pPr>
        <w:pStyle w:val="ListBullet"/>
      </w:pPr>
      <w:r>
        <w:t>Added a separately content-addressed composite source pack so PL/I evidence excerpts are inspectable without modifying the canonical evidence pack.</w:t>
      </w:r>
    </w:p>
    <w:p>
      <w:pPr>
        <w:pStyle w:val="ListBullet"/>
      </w:pPr>
      <w:r>
        <w:t>Preserved canonical runtime and audit bindings inside the composite Explorer and added an explicit UI banner showing canonical/composite hashes and the non-equivalence claim boundary.</w:t>
      </w:r>
    </w:p>
    <w:p>
      <w:pPr>
        <w:pStyle w:val="ListBullet"/>
      </w:pPr>
      <w:r>
        <w:t>Added doctor, demo, explorer, and verify developer entry points for POSIX and PowerShell, with required-versus-optional prerequisite diagnostics and actionable remediation.</w:t>
      </w:r>
    </w:p>
    <w:p>
      <w:pPr>
        <w:pStyle w:val="ListBullet"/>
      </w:pPr>
      <w:r>
        <w:t>Added fail-closed tests for semantic input drift, undeclared implementation changes, fragment drift, projection tampering, cross-estate navigation, and canonical runtime/audit compatibility.</w:t>
      </w:r>
    </w:p>
    <w:p>
      <w:pPr>
        <w:pStyle w:val="ListBullet"/>
      </w:pPr>
      <w:r>
        <w:t>Kept gates 6 and 8 blocked, gate 7 mechanism-ready, mainframe_equivalent: false, and production_ready: false.</w:t>
      </w:r>
    </w:p>
    <w:p>
      <w:pPr>
        <w:pStyle w:val="Heading1"/>
      </w:pPr>
      <w:r>
        <w:t>How it differs from earlier work</w:t>
      </w:r>
    </w:p>
    <w:p>
      <w:r>
        <w:t>MS #23 builds on MS #22 (Mixed PL/I Modernization Proof). The earlier milestone established its own bounded capability; this milestone adds stable composite estate and developer golden path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stable composite estate and developer golden path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#23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#23 - Stable Composite Estate and Developer Golden Path</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