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#38 - JCL Qualification Hardening</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0.38.0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2026-08-30</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#38 - JCL Qualification Hardening converts a specific part of the LIGHTYEAR modernization approach into a governed, reviewable capability. Qualifies a bounded JCL discovery and semantic subset while keeping JES, catalog, scheduler, and restart claims evidence-dependent.</w:t>
      </w:r>
    </w:p>
    <w:p>
      <w:pPr>
        <w:pStyle w:val="Heading1"/>
      </w:pPr>
      <w:r>
        <w:t>Why this matters to a customer</w:t>
      </w:r>
    </w:p>
    <w:p>
      <w:r>
        <w:t>Qualifies a bounded JCL discovery and semantic subset while keeping JES, catalog, scheduler, and restart claims evidence-dependent.</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Bound JCL qualification to the canonical graph inventory of 46 jobs, two procedures, 119 steps, 451 DD allocations, and their exact graph identity.</w:t>
      </w:r>
    </w:p>
    <w:p>
      <w:pPr>
        <w:pStyle w:val="ListBullet"/>
      </w:pPr>
      <w:r>
        <w:t>Added a deterministic 30-case synthetic JCL conformance corpus with 20 targeted semantic-boundary cases, 24 passing cases, six explicit fail-closed cases, and 36 observed feature categories.</w:t>
      </w:r>
    </w:p>
    <w:p>
      <w:pPr>
        <w:pStyle w:val="ListBullet"/>
      </w:pPr>
      <w:r>
        <w:t>Added a 22-entry JCL compatibility ledger covering jobs, procedures, symbolics, EXEC resolution, DD allocation, DISP, GDG, DCB/SPACE, condition codes, restart, utilities, scheduler directives, JES controls, subsystem boundaries, and RACF submission identity using all five governing classes.</w:t>
      </w:r>
    </w:p>
    <w:p>
      <w:pPr>
        <w:pStyle w:val="ListBullet"/>
      </w:pPr>
      <w:r>
        <w:t>Separated ten gates for estate inventory, corpus provenance, parsing, job/procedure semantics, program resolution, dataset allocation, condition/restart behavior, utilities/scheduler/security, tamper resistance, and authorized JES/catalog/scheduler execution.</w:t>
      </w:r>
    </w:p>
    <w:p>
      <w:pPr>
        <w:pStyle w:val="ListBullet"/>
      </w:pPr>
      <w:r>
        <w:t>Added frozen schemas, POSIX/PowerShell entry points, release-gate integration, deterministic receipts, exact-corpus checks, diagnostic-location checks, and rehashed-overclaim tests.</w:t>
      </w:r>
    </w:p>
    <w:p>
      <w:pPr>
        <w:pStyle w:val="ListBullet"/>
      </w:pPr>
      <w:r>
        <w:t>Kept native JCL, JES, catalog/SMS, scheduler, runtime, restart, mainframe equivalence, and production readiness false; no customer or IBM source is included in the synthetic corpus.</w:t>
      </w:r>
    </w:p>
    <w:p>
      <w:pPr>
        <w:pStyle w:val="Heading1"/>
      </w:pPr>
      <w:r>
        <w:t>How it differs from earlier work</w:t>
      </w:r>
    </w:p>
    <w:p>
      <w:r>
        <w:t>MS #38 builds on MS #37 (PL/I Qualification Hardening). The earlier milestone established its own bounded capability; this milestone adds jcl qualification hardening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jcl qualification hardening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native JCL, JES, catalog/SMS, scheduler, runtime, restart, mainframe equivalence, and production readiness false; no customer or IBM source is included in the synthetic corpus.</w:t>
      </w:r>
    </w:p>
    <w:p>
      <w:pPr>
        <w:pStyle w:val="Heading1"/>
      </w:pPr>
      <w:r>
        <w:t>Source of record</w:t>
      </w:r>
    </w:p>
    <w:p>
      <w:pPr>
        <w:pStyle w:val="ListBullet"/>
      </w:pPr>
      <w:r>
        <w:t>CHANGELOG.md release section(s): 0.38.0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#38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#38 - JCL Qualification Hardening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