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#67 - CloudBank Real Non-Production Platform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Execution pending</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#67 - CloudBank Real Non-Production Platform Qualification converts a specific part of the LIGHTYEAR modernization approach into a governed, reviewable capability. Turns the deployment design into a deployable managed-cloud platform and makes operational claims depend on signed live Kubernetes evidence rather than architecture documents.</w:t>
      </w:r>
    </w:p>
    <w:p>
      <w:pPr>
        <w:pStyle w:val="Heading1"/>
      </w:pPr>
      <w:r>
        <w:t>Why this matters to a customer</w:t>
      </w:r>
    </w:p>
    <w:p>
      <w:r>
        <w:t>Turns the deployment design into a deployable managed-cloud platform and makes operational claims depend on signed live Kubernetes evidence rather than architecture documents.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#65/MS #66 receipt chain and signed platform profile bound to one real, explicitly authorized non-production context.</w:t>
      </w:r>
    </w:p>
    <w:p>
      <w:pPr>
        <w:pStyle w:val="ListBullet"/>
      </w:pPr>
      <w:r>
        <w:t>An ephemeral regional GKE Standard implementation with private nodes across three zones, Workload Identity, Dataplane V2, bounded administrator access, Artifact Registry, Cloud DNS, and explicit teardown.</w:t>
      </w:r>
    </w:p>
    <w:p>
      <w:pPr>
        <w:pStyle w:val="ListBullet"/>
      </w:pPr>
      <w:r>
        <w:t>Cloud SQL PostgreSQL regional high availability, automated backup and point-in-time recovery, exact restored-state comparison, and bounded RPO/RTO evidence.</w:t>
      </w:r>
    </w:p>
    <w:p>
      <w:pPr>
        <w:pStyle w:val="ListBullet"/>
      </w:pPr>
      <w:r>
        <w:t>Digest-only Java 21 service images with verified OpenTelemetry agent input, Cloud KMS Cosign signatures and provenance, and Trivy scanning that admits no critical or high findings.</w:t>
      </w:r>
    </w:p>
    <w:p>
      <w:pPr>
        <w:pStyle w:val="ListBullet"/>
      </w:pPr>
      <w:r>
        <w:t>Secret Manager through External Secrets Operator without static Google service-account keys or committed values, including synchronization and rotation evidence for all eight services.</w:t>
      </w:r>
    </w:p>
    <w:p>
      <w:pPr>
        <w:pStyle w:val="ListBullet"/>
      </w:pPr>
      <w:r>
        <w:t>Trusted public TLS through cert-manager and ingress-nginx; OpenTelemetry metrics and traces, Cloud Logging, all-service correlation, and alert fire/recovery evidence.</w:t>
      </w:r>
    </w:p>
    <w:p>
      <w:pPr>
        <w:pStyle w:val="ListBullet"/>
      </w:pPr>
      <w:r>
        <w:t>A minimum five-minute, 1,000-request, concurrency-10 k6 window with zero errors and p95 no greater than 500 milliseconds.</w:t>
      </w:r>
    </w:p>
    <w:p>
      <w:pPr>
        <w:pStyle w:val="ListBullet"/>
      </w:pPr>
      <w:r>
        <w:t>Controlled node and failure-domain evacuation, zero-unavailable rolling deployment for all eight services, canary cutover, all 18 business journeys, mandatory rollback, and recovery.</w:t>
      </w:r>
    </w:p>
    <w:p>
      <w:pPr>
        <w:pStyle w:val="ListBullet"/>
      </w:pPr>
      <w:r>
        <w:t>Twenty-eight exact signed scenarios, four schemas, minimized evidence receipts, cross-platform admission launchers, GKE scripts and runbook, CI, Control Tower projection, and adversarial tests.</w:t>
      </w:r>
    </w:p>
    <w:p>
      <w:pPr>
        <w:pStyle w:val="Heading1"/>
      </w:pPr>
      <w:r>
        <w:t>How it differs from earlier work</w:t>
      </w:r>
    </w:p>
    <w:p>
      <w:r>
        <w:t>MS #65 designed and admitted a production-like rehearsal, while MS #66 proved bounded eight-service business equivalence. MS #67 chains both results into the first real managed Kubernetes platform implementation and preserves customer-specific production certification for MS #68.</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real non-production platform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the implementation and evidence gate are ready; this workspace has no Kubernetes context or Google Cloud credentials and does not claim a live run.</w:t>
      </w:r>
    </w:p>
    <w:p>
      <w:pPr>
        <w:pStyle w:val="ListBullet"/>
      </w:pPr>
      <w:r>
        <w:t>A later passing receipt qualifies only the exact authorized non-production GKE environment and synthetic run.</w:t>
      </w:r>
    </w:p>
    <w:p>
      <w:pPr>
        <w:pStyle w:val="ListBullet"/>
      </w:pPr>
      <w:r>
        <w:t>The controlled failure-domain evacuation is not represented as an actual Google Cloud zone outage.</w:t>
      </w:r>
    </w:p>
    <w:p>
      <w:pPr>
        <w:pStyle w:val="ListBullet"/>
      </w:pPr>
      <w:r>
        <w:t>Customer IdP, representative customer data volume and workload, the customer's formal approval process, migration completion, production deployment, and final signed production readiness remain MS #68.</w:t>
      </w:r>
    </w:p>
    <w:p>
      <w:pPr>
        <w:pStyle w:val="Heading1"/>
      </w:pPr>
      <w:r>
        <w:t>Source of record</w:t>
      </w:r>
    </w:p>
    <w:p>
      <w:pPr>
        <w:pStyle w:val="ListBullet"/>
      </w:pPr>
      <w:r>
        <w:t>CHANGELOG.md release section(s): 0.67.0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#67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#67 - CloudBank Real Non-Production Platform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