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#54 - CloudBank Executable Source Baseline</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 - execution passed</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0.54.0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2026-09-02</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Published execution result</w:t>
      </w:r>
    </w:p>
    <w:p>
      <w:r>
        <w:t>Published 2026-09-11: Source build and bounded Oracle runtime. The original signed receipt is retained in the completed MS67 evidence chain.</w:t>
      </w:r>
    </w:p>
    <w:p>
      <w:hyperlink r:id="rId11">
        <w:r>
          <w:rPr>
            <w:color w:val="6942D6"/>
          </w:rPr>
          <w:t>Original signed receipt 1</w:t>
        </w:r>
      </w:hyperlink>
    </w:p>
    <w:p>
      <w:hyperlink r:id="rId12">
        <w:r>
          <w:rPr>
            <w:color w:val="6942D6"/>
          </w:rPr>
          <w:t>Original signed receipt 2</w:t>
        </w:r>
      </w:hyperlink>
    </w:p>
    <w:p>
      <w:hyperlink r:id="rId13">
        <w:r>
          <w:rPr>
            <w:color w:val="6942D6"/>
          </w:rPr>
          <w:t>Full MS54–67 execution evidence index</w:t>
        </w:r>
      </w:hyperlink>
    </w:p>
    <w:p>
      <w:pPr>
        <w:pStyle w:val="Heading1"/>
      </w:pPr>
      <w:r>
        <w:t>Executive summary</w:t>
      </w:r>
    </w:p>
    <w:p>
      <w:r>
        <w:t>MS #54 - CloudBank Executable Source Baseline converts a specific part of the LIGHTYEAR modernization approach into a governed, reviewable capability. Turns the pinned CloudBank estate into a reproducible, fail-closed source execution contract so the first dark factory workcell can start from proven Oracle behavior instead of static inventory alone.</w:t>
      </w:r>
    </w:p>
    <w:p>
      <w:pPr>
        <w:pStyle w:val="Heading1"/>
      </w:pPr>
      <w:r>
        <w:t>Why this matters to a customer</w:t>
      </w:r>
    </w:p>
    <w:p>
      <w:r>
        <w:t>Turns the pinned CloudBank estate into a reproducible, fail-closed source execution contract so the first dark factory workcell can start from proven Oracle behavior instead of static inventory alone.</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 deterministic Java 21 and Maven 3.6-or-newer build plan bound to the exact 189-file, 70-Java-unit, ten-module CloudBank v5 source tree.</w:t>
      </w:r>
    </w:p>
    <w:p>
      <w:pPr>
        <w:pStyle w:val="ListBullet"/>
      </w:pPr>
      <w:r>
        <w:t>A reproducible build of the seven-service set declared by the pinned upstream image-build script, with seven JAR hashes required in the signed receipt.</w:t>
      </w:r>
    </w:p>
    <w:p>
      <w:pPr>
        <w:pStyle w:val="ListBullet"/>
      </w:pPr>
      <w:r>
        <w:t>A bounded Oracle runtime plan using the pinned azn-server Testcontainers suite: three integration classes, seven tests, and gvenzl/oracle-free:23.26.1-slim-faststart.</w:t>
      </w:r>
    </w:p>
    <w:p>
      <w:pPr>
        <w:pStyle w:val="ListBullet"/>
      </w:pPr>
      <w:r>
        <w:t>Content-addressed readiness, build, and Oracle-runtime contracts plus three JSON Schemas.</w:t>
      </w:r>
    </w:p>
    <w:p>
      <w:pPr>
        <w:pStyle w:val="ListBullet"/>
      </w:pPr>
      <w:r>
        <w:t>Environment-key-signed receipts that retain aggregate results and hashes while excluding credentials, raw stdout, and raw stderr.</w:t>
      </w:r>
    </w:p>
    <w:p>
      <w:pPr>
        <w:pStyle w:val="ListBullet"/>
      </w:pPr>
      <w:r>
        <w:t>Strict verification rejecting unsigned evidence, source or plan drift, Java 17, old Maven, missing artifacts, failed or skipped tests, image-identity gaps, and PostgreSQL or production overclaims.</w:t>
      </w:r>
    </w:p>
    <w:p>
      <w:pPr>
        <w:pStyle w:val="ListBullet"/>
      </w:pPr>
      <w:r>
        <w:t>Cross-platform launchers and a Java 21 CI source-build job that exercises the exact pinned upstream checkout.</w:t>
      </w:r>
    </w:p>
    <w:p>
      <w:pPr>
        <w:pStyle w:val="ListBullet"/>
      </w:pPr>
      <w:r>
        <w:t>An explicit data boundary: pinned sample and bootstrap data qualify the first controlled run, while production data requires a separately authorized and profiled extract.</w:t>
      </w:r>
    </w:p>
    <w:p>
      <w:pPr>
        <w:pStyle w:val="Heading1"/>
      </w:pPr>
      <w:r>
        <w:t>How it differs from earlier work</w:t>
      </w:r>
    </w:p>
    <w:p>
      <w:r>
        <w:t>MS #53 selected, pinned, inventoried, and projected CloudBank without building or running it. MS #54 defines the exact full-source build and bounded native Oracle evidence required before PostgreSQL mapping or an autonomous customer-service transformation may begin.</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cloudbank executable source baseline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These boundaries describe MS #54's own evidence scope. Later MS65, MS66 and MS67 receipts add their separate nonproduction qualifications; they do not rewrite this milestone's signed fields.</w:t>
      </w:r>
    </w:p>
    <w:p>
      <w:pPr>
        <w:pStyle w:val="ListBullet"/>
      </w:pPr>
      <w:r>
        <w:t>The bounded Oracle runtime suite proves only the azn-server source baseline; it does not execute the customer service or the complete CloudBank application.</w:t>
      </w:r>
    </w:p>
    <w:p>
      <w:pPr>
        <w:pStyle w:val="ListBullet"/>
      </w:pPr>
      <w:r>
        <w:t>The upstream source is required as an exact external checkout and is not vendored into this repository.</w:t>
      </w:r>
    </w:p>
    <w:p>
      <w:pPr>
        <w:pStyle w:val="ListBullet"/>
      </w:pPr>
      <w:r>
        <w:t>No customer or production CloudBank data is present, copied, or implied.</w:t>
      </w:r>
    </w:p>
    <w:p>
      <w:pPr>
        <w:pStyle w:val="ListBullet"/>
      </w:pPr>
      <w:r>
        <w:t>PostgreSQL target selection and mapping do not begin until the source runtime receipt is admitted.</w:t>
      </w:r>
    </w:p>
    <w:p>
      <w:pPr>
        <w:pStyle w:val="ListBullet"/>
      </w:pPr>
      <w:r>
        <w:t>PostgreSQL compatibility, target equivalence, application equivalence, migration completion, and production readiness remain false.</w:t>
      </w:r>
    </w:p>
    <w:p>
      <w:pPr>
        <w:pStyle w:val="Heading1"/>
      </w:pPr>
      <w:r>
        <w:t>Source of record</w:t>
      </w:r>
    </w:p>
    <w:p>
      <w:pPr>
        <w:pStyle w:val="ListBullet"/>
      </w:pPr>
      <w:r>
        <w:t>CHANGELOG.md release section(s): 0.54.0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ook w:firstColumn="1" w:firstRow="1" w:lastColumn="0" w:lastRow="0" w:noHBand="0" w:noVBand="1" w:val="04A0"/>
      <w:tblW w:w="9360" w:type="dxa"/>
      <w:tblInd w:w="0" w:type="dxa"/>
      <w:tblLayout w:type="fixed"/>
    </w:tblPr>
    <w:tblGrid>
      <w:gridCol w:w="6000"/>
      <w:gridCol w:w="3360"/>
    </w:tblGrid>
    <w:tr>
      <w:tc>
        <w:tcPr>
          <w:tcW w:type="dxa" w:w="6000"/>
          <w:tcMar>
            <w:top w:w="80" w:type="dxa"/>
            <w:bottom w:w="80" w:type="dxa"/>
            <w:start w:w="120" w:type="dxa"/>
            <w:end w:w="120" w:type="dxa"/>
          </w:tcMar>
          <w:vAlign w:val="center"/>
        </w:tcPr>
        <w:p>
          <w:pPr>
            <w:spacing w:after="0"/>
            <w:jc w:val="left"/>
          </w:pPr>
          <w:r>
            <w:rPr>
              <w:rFonts w:ascii="Arial" w:hAnsi="Arial"/>
              <w:color w:val="676985"/>
              <w:sz w:val="15"/>
            </w:rPr>
            <w:t>Underlying evidence remains authoritative.</w:t>
          </w:r>
        </w:p>
      </w:tc>
      <w:tc>
        <w:tcPr>
          <w:tcW w:type="dxa" w:w="3360"/>
          <w:tcMar>
            <w:top w:w="80" w:type="dxa"/>
            <w:bottom w:w="80" w:type="dxa"/>
            <w:start w:w="120" w:type="dxa"/>
            <w:end w:w="120" w:type="dxa"/>
          </w:tcMar>
          <w:vAlign w:val="center"/>
        </w:tcPr>
        <w:p>
          <w:pPr>
            <w:spacing w:after="0"/>
            <w:jc w:val="right"/>
          </w:pPr>
          <w:r>
            <w:rPr>
              <w:rFonts w:ascii="Arial" w:hAnsi="Arial"/>
              <w:color w:val="676985"/>
              <w:sz w:val="17"/>
            </w:rPr>
            <w:t xml:space="preserve">MS #54  |  Page </w:t>
          </w:r>
          <w:r>
            <w:fldChar w:fldCharType="begin"/>
            <w:instrText>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owardweale/lightyear-carddemo-modernization/blob/main/docs/receipts/ms67-final-635689566db6425aadf6fb1fc6cf3de7/receipts/prerequisite-ms54-oracle-runtime.receipt.json" TargetMode="External"/><Relationship Id="rId12" Type="http://schemas.openxmlformats.org/officeDocument/2006/relationships/hyperlink" Target="https://github.com/howardweale/lightyear-carddemo-modernization/blob/main/docs/receipts/ms67-final-635689566db6425aadf6fb1fc6cf3de7/receipts/prerequisite-ms54-source-build.receipt.json" TargetMode="External"/><Relationship Id="rId13" Type="http://schemas.openxmlformats.org/officeDocument/2006/relationships/hyperlink" Target="https://howardweale.github.io/lightyear-carddemo-modernization/receipt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#54 - CloudBank Executable Source Baseline</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