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#55 - CloudBank Customer PostgreSQL Mapping</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 - execution passed</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0.55.0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2026-09-02</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Published execution result</w:t>
      </w:r>
    </w:p>
    <w:p>
      <w:r>
        <w:t>Published 2026-09-11: Customer PostgreSQL database mapping. The original signed receipt is retained in the completed MS67 evidence chain.</w:t>
      </w:r>
    </w:p>
    <w:p>
      <w:hyperlink r:id="rId11">
        <w:r>
          <w:rPr>
            <w:color w:val="6942D6"/>
          </w:rPr>
          <w:t>Original signed receipt 1</w:t>
        </w:r>
      </w:hyperlink>
    </w:p>
    <w:p>
      <w:hyperlink r:id="rId12">
        <w:r>
          <w:rPr>
            <w:color w:val="6942D6"/>
          </w:rPr>
          <w:t>Full MS54–67 execution evidence index</w:t>
        </w:r>
      </w:hyperlink>
    </w:p>
    <w:p>
      <w:pPr>
        <w:pStyle w:val="Heading1"/>
      </w:pPr>
      <w:r>
        <w:t>Executive summary</w:t>
      </w:r>
    </w:p>
    <w:p>
      <w:r>
        <w:t>MS #55 - CloudBank Customer PostgreSQL Mapping converts a specific part of the LIGHTYEAR modernization approach into a governed, reviewable capability. Turns the first CloudBank service slice into a governed PostgreSQL 16 mapping with explicit semantic decisions, native checks, and application gaps.</w:t>
      </w:r>
    </w:p>
    <w:p>
      <w:pPr>
        <w:pStyle w:val="Heading1"/>
      </w:pPr>
      <w:r>
        <w:t>Why this matters to a customer</w:t>
      </w:r>
    </w:p>
    <w:p>
      <w:r>
        <w:t>Turns the first CloudBank service slice into a governed PostgreSQL 16 mapping with explicit semantic decisions, native checks, and application gaps.</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source contract binding the pinned customer DDL, bootstrap data, JPA code, Oracle configuration, and Maven module.</w:t>
      </w:r>
    </w:p>
    <w:p>
      <w:pPr>
        <w:pStyle w:val="ListBullet"/>
      </w:pPr>
      <w:r>
        <w:t>A seven-column, primary-key mapping from CUSTOMER.CUSTOMERS to cloudbank_customer.customers on PostgreSQL 16.</w:t>
      </w:r>
    </w:p>
    <w:p>
      <w:pPr>
        <w:pStyle w:val="ListBullet"/>
      </w:pPr>
      <w:r>
        <w:t>Explicit handling of Oracle empty strings, identifier folding, DATE/SYSDATE precision, UTC policy, and C-collation fragment searches.</w:t>
      </w:r>
    </w:p>
    <w:p>
      <w:pPr>
        <w:pStyle w:val="ListBullet"/>
      </w:pPr>
      <w:r>
        <w:t>A compatibility ledger exposing the ROLE/JPA mismatch, Oracle UCP/wallet refactor, API authorization boundary, and production policies.</w:t>
      </w:r>
    </w:p>
    <w:p>
      <w:pPr>
        <w:pStyle w:val="ListBullet"/>
      </w:pPr>
      <w:r>
        <w:t>Synthetic four-row fixtures containing neither upstream demonstration passwords nor production data.</w:t>
      </w:r>
    </w:p>
    <w:p>
      <w:pPr>
        <w:pStyle w:val="ListBullet"/>
      </w:pPr>
      <w:r>
        <w:t>A hardened postgres:16-alpine runner checking the catalog, defaults, normalization, searches, CRUD, commit, and rollback.</w:t>
      </w:r>
    </w:p>
    <w:p>
      <w:pPr>
        <w:pStyle w:val="ListBullet"/>
      </w:pPr>
      <w:r>
        <w:t>A native receipt contract requiring an admitted signed MS #54 Oracle receipt and binding both database image identities.</w:t>
      </w:r>
    </w:p>
    <w:p>
      <w:pPr>
        <w:pStyle w:val="ListBullet"/>
      </w:pPr>
      <w:r>
        <w:t>Control Tower status, cross-platform launchers, JSON Schemas, CI checks, deterministic artifacts, and tamper/overclaim tests.</w:t>
      </w:r>
    </w:p>
    <w:p>
      <w:pPr>
        <w:pStyle w:val="Heading1"/>
      </w:pPr>
      <w:r>
        <w:t>How it differs from earlier work</w:t>
      </w:r>
    </w:p>
    <w:p>
      <w:r>
        <w:t>MS #53 mapped the CloudBank estate and MS #54 established its executable Oracle baseline. MS #55 maps the customer workcell to PostgreSQL; Spring refactoring and dual-run equivalence remain MS #56 work.</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cloudbank customer postgresql mapping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These boundaries describe MS #55's own evidence scope. Later MS65, MS66 and MS67 receipts add their separate nonproduction qualifications; they do not rewrite this milestone's signed fields.</w:t>
      </w:r>
    </w:p>
    <w:p>
      <w:pPr>
        <w:pStyle w:val="ListBullet"/>
      </w:pPr>
      <w:r>
        <w:t>Native execution requires the operator-held Oracle receipt and its verification key.</w:t>
      </w:r>
    </w:p>
    <w:p>
      <w:pPr>
        <w:pStyle w:val="ListBullet"/>
      </w:pPr>
      <w:r>
        <w:t>Only bounded customer-table behavior is mapped; other CloudBank workloads are not.</w:t>
      </w:r>
    </w:p>
    <w:p>
      <w:pPr>
        <w:pStyle w:val="ListBullet"/>
      </w:pPr>
      <w:r>
        <w:t>The Spring/JPA application is neither refactored nor run against PostgreSQL here.</w:t>
      </w:r>
    </w:p>
    <w:p>
      <w:pPr>
        <w:pStyle w:val="ListBullet"/>
      </w:pPr>
      <w:r>
        <w:t>HTTP/API, authorization, concurrency, CDC, cutover, and cross-system rollback remain outside this database proof.</w:t>
      </w:r>
    </w:p>
    <w:p>
      <w:pPr>
        <w:pStyle w:val="ListBullet"/>
      </w:pPr>
      <w:r>
        <w:t>CloudBank-wide equivalence, migration completion, production-data equivalence, and production readiness remain false.</w:t>
      </w:r>
    </w:p>
    <w:p>
      <w:pPr>
        <w:pStyle w:val="Heading1"/>
      </w:pPr>
      <w:r>
        <w:t>Source of record</w:t>
      </w:r>
    </w:p>
    <w:p>
      <w:pPr>
        <w:pStyle w:val="ListBullet"/>
      </w:pPr>
      <w:r>
        <w:t>CHANGELOG.md release section(s): 0.55.0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#55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receipts/ms67-final-635689566db6425aadf6fb1fc6cf3de7/receipts/prerequisite-ms55-postgresql.receipt.json" TargetMode="External"/><Relationship Id="rId12" Type="http://schemas.openxmlformats.org/officeDocument/2006/relationships/hyperlink" Target="https://howardweale.github.io/lightyear-carddemo-modernization/receip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#55 - CloudBank Customer PostgreSQL Mapping</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