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A7702C"/>
          <w:sz w:val="18"/>
        </w:rPr>
        <w:t>CUSTOMER MILESTONE BRIEF</w:t>
      </w:r>
    </w:p>
    <w:p>
      <w:pPr>
        <w:spacing w:after="160"/>
      </w:pPr>
      <w:r>
        <w:rPr>
          <w:rFonts w:ascii="Arial" w:hAnsi="Arial"/>
          <w:b/>
          <w:color w:val="15184D"/>
          <w:sz w:val="56"/>
        </w:rPr>
        <w:t>MS #56 - First CloudBank Dark Factory Run</w:t>
      </w:r>
    </w:p>
    <w:p>
      <w:pPr>
        <w:spacing w:after="360"/>
      </w:pPr>
      <w:r>
        <w:rPr>
          <w:rFonts w:ascii="Arial" w:hAnsi="Arial"/>
          <w:color w:val="676985"/>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EFEBFB"/>
          </w:tcPr>
          <w:p>
            <w:r>
              <w:rPr>
                <w:rFonts w:ascii="Arial" w:hAnsi="Arial"/>
                <w:b/>
                <w:color w:val="15184D"/>
              </w:rPr>
              <w:t>Status</w:t>
            </w:r>
          </w:p>
        </w:tc>
        <w:tc>
          <w:tcPr>
            <w:tcW w:type="dxa" w:w="6660"/>
            <w:tcMar>
              <w:top w:w="80" w:type="dxa"/>
              <w:bottom w:w="80" w:type="dxa"/>
              <w:start w:w="120" w:type="dxa"/>
              <w:end w:w="120" w:type="dxa"/>
            </w:tcMar>
            <w:vAlign w:val="center"/>
          </w:tcPr>
          <w:p>
            <w:r>
              <w:rPr>
                <w:rFonts w:ascii="Arial" w:hAnsi="Arial"/>
              </w:rPr>
              <w:t>Complete - execution passed</w:t>
            </w:r>
          </w:p>
        </w:tc>
      </w:tr>
      <w:tr>
        <w:tc>
          <w:tcPr>
            <w:tcW w:type="dxa" w:w="2700"/>
            <w:tcMar>
              <w:top w:w="80" w:type="dxa"/>
              <w:bottom w:w="80" w:type="dxa"/>
              <w:start w:w="120" w:type="dxa"/>
              <w:end w:w="120" w:type="dxa"/>
            </w:tcMar>
            <w:vAlign w:val="center"/>
            <w:shd w:fill="EFEBFB"/>
          </w:tcPr>
          <w:p>
            <w:r>
              <w:rPr>
                <w:rFonts w:ascii="Arial" w:hAnsi="Arial"/>
                <w:b/>
                <w:color w:val="15184D"/>
              </w:rPr>
              <w:t>Release</w:t>
            </w:r>
          </w:p>
        </w:tc>
        <w:tc>
          <w:tcPr>
            <w:tcW w:type="dxa" w:w="6660"/>
            <w:tcMar>
              <w:top w:w="80" w:type="dxa"/>
              <w:bottom w:w="80" w:type="dxa"/>
              <w:start w:w="120" w:type="dxa"/>
              <w:end w:w="120" w:type="dxa"/>
            </w:tcMar>
            <w:vAlign w:val="center"/>
          </w:tcPr>
          <w:p>
            <w:r>
              <w:rPr>
                <w:rFonts w:ascii="Arial" w:hAnsi="Arial"/>
              </w:rPr>
              <w:t>0.56.0</w:t>
            </w:r>
          </w:p>
        </w:tc>
      </w:tr>
      <w:tr>
        <w:tc>
          <w:tcPr>
            <w:tcW w:type="dxa" w:w="2700"/>
            <w:tcMar>
              <w:top w:w="80" w:type="dxa"/>
              <w:bottom w:w="80" w:type="dxa"/>
              <w:start w:w="120" w:type="dxa"/>
              <w:end w:w="120" w:type="dxa"/>
            </w:tcMar>
            <w:vAlign w:val="center"/>
            <w:shd w:fill="EFEBFB"/>
          </w:tcPr>
          <w:p>
            <w:r>
              <w:rPr>
                <w:rFonts w:ascii="Arial" w:hAnsi="Arial"/>
                <w:b/>
                <w:color w:val="15184D"/>
              </w:rPr>
              <w:t>Date</w:t>
            </w:r>
          </w:p>
        </w:tc>
        <w:tc>
          <w:tcPr>
            <w:tcW w:type="dxa" w:w="6660"/>
            <w:tcMar>
              <w:top w:w="80" w:type="dxa"/>
              <w:bottom w:w="80" w:type="dxa"/>
              <w:start w:w="120" w:type="dxa"/>
              <w:end w:w="120" w:type="dxa"/>
            </w:tcMar>
            <w:vAlign w:val="center"/>
          </w:tcPr>
          <w:p>
            <w:r>
              <w:rPr>
                <w:rFonts w:ascii="Arial" w:hAnsi="Arial"/>
              </w:rPr>
              <w:t>2026-09-02</w:t>
            </w:r>
          </w:p>
        </w:tc>
      </w:tr>
      <w:tr>
        <w:tc>
          <w:tcPr>
            <w:tcW w:type="dxa" w:w="2700"/>
            <w:tcMar>
              <w:top w:w="80" w:type="dxa"/>
              <w:bottom w:w="80" w:type="dxa"/>
              <w:start w:w="120" w:type="dxa"/>
              <w:end w:w="120" w:type="dxa"/>
            </w:tcMar>
            <w:vAlign w:val="center"/>
            <w:shd w:fill="EFEBFB"/>
          </w:tcPr>
          <w:p>
            <w:r>
              <w:rPr>
                <w:rFonts w:ascii="Arial" w:hAnsi="Arial"/>
                <w:b/>
                <w:color w:val="15184D"/>
              </w:rPr>
              <w:t>Audience</w:t>
            </w:r>
          </w:p>
        </w:tc>
        <w:tc>
          <w:tcPr>
            <w:tcW w:type="dxa" w:w="6660"/>
            <w:tcMar>
              <w:top w:w="80" w:type="dxa"/>
              <w:bottom w:w="80" w:type="dxa"/>
              <w:start w:w="120" w:type="dxa"/>
              <w:end w:w="120" w:type="dxa"/>
            </w:tcMar>
            <w:vAlign w:val="center"/>
          </w:tcPr>
          <w:p>
            <w:r>
              <w:rPr>
                <w:rFonts w:ascii="Arial" w:hAnsi="Arial"/>
              </w:rPr>
              <w:t>Customers, partners, executives, architects, delivery teams, and assurance reviewers</w:t>
            </w:r>
          </w:p>
        </w:tc>
      </w:tr>
    </w:tbl>
    <w:p>
      <w:pPr>
        <w:pStyle w:val="Heading1"/>
      </w:pPr>
      <w:r>
        <w:t>Published execution result</w:t>
      </w:r>
    </w:p>
    <w:p>
      <w:r>
        <w:t>Published 2026-09-11: Customer application dark factory run. The original signed receipt is retained in the completed MS67 evidence chain.</w:t>
      </w:r>
    </w:p>
    <w:p>
      <w:hyperlink r:id="rId11">
        <w:r>
          <w:rPr>
            <w:color w:val="6942D6"/>
          </w:rPr>
          <w:t>Original signed receipt 1</w:t>
        </w:r>
      </w:hyperlink>
    </w:p>
    <w:p>
      <w:hyperlink r:id="rId12">
        <w:r>
          <w:rPr>
            <w:color w:val="6942D6"/>
          </w:rPr>
          <w:t>Full MS54–67 execution evidence index</w:t>
        </w:r>
      </w:hyperlink>
    </w:p>
    <w:p>
      <w:pPr>
        <w:pStyle w:val="Heading1"/>
      </w:pPr>
      <w:r>
        <w:t>Executive summary</w:t>
      </w:r>
    </w:p>
    <w:p>
      <w:r>
        <w:t>MS #56 - First CloudBank Dark Factory Run converts a specific part of the LIGHTYEAR modernization approach into a governed, reviewable capability. Turns the customer mapping into an isolated, receipt-gated workcell that can prove one bounded Spring contract on Oracle and PostgreSQL without changing the pinned source.</w:t>
      </w:r>
    </w:p>
    <w:p>
      <w:pPr>
        <w:pStyle w:val="Heading1"/>
      </w:pPr>
      <w:r>
        <w:t>Why this matters to a customer</w:t>
      </w:r>
    </w:p>
    <w:p>
      <w:r>
        <w:t>Turns the customer mapping into an isolated, receipt-gated workcell that can prove one bounded Spring contract on Oracle and PostgreSQL without changing the pinned source.</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 sealed work order that copies the complete pinned cloudbank-v5 source into isolation and admits exactly six customer-service paths.</w:t>
      </w:r>
    </w:p>
    <w:p>
      <w:pPr>
        <w:pStyle w:val="ListBullet"/>
      </w:pPr>
      <w:r>
        <w:t>Content-addressed templates for Maven, PostgreSQL datasource and Hibernate settings, Liquibase SQL, the JPA entity, and the shared test.</w:t>
      </w:r>
    </w:p>
    <w:p>
      <w:pPr>
        <w:pStyle w:val="ListBullet"/>
      </w:pPr>
      <w:r>
        <w:t>A deterministic worker that rejects source drift and applies only the six edits through the existing patch broker.</w:t>
      </w:r>
    </w:p>
    <w:p>
      <w:pPr>
        <w:pStyle w:val="ListBullet"/>
      </w:pPr>
      <w:r>
        <w:t>One shared Oracle and PostgreSQL Spring/JPA contract for four synthetic rows, defaults, empty strings, case-sensitive searches, CRUD, and owner/admin authorization.</w:t>
      </w:r>
    </w:p>
    <w:p>
      <w:pPr>
        <w:pStyle w:val="ListBullet"/>
      </w:pPr>
      <w:r>
        <w:t>A baseline-first gate that passes unchanged source on the admitted Oracle image before testing the generated service on PostgreSQL 16.</w:t>
      </w:r>
    </w:p>
    <w:p>
      <w:pPr>
        <w:pStyle w:val="ListBullet"/>
      </w:pPr>
      <w:r>
        <w:t>A signed receipt chained to the MS #54 and MS #55 receipts, immutable images, factory receipt, work order, mapping, and transformation plan.</w:t>
      </w:r>
    </w:p>
    <w:p>
      <w:pPr>
        <w:pStyle w:val="ListBullet"/>
      </w:pPr>
      <w:r>
        <w:t>Ephemeral loopback-only ports and exclusion of credentials, raw Maven output, demonstration passwords, and production data.</w:t>
      </w:r>
    </w:p>
    <w:p>
      <w:pPr>
        <w:pStyle w:val="ListBullet"/>
      </w:pPr>
      <w:r>
        <w:t>Cross-platform launchers, schemas, Control Tower status, CI checks, deterministic artifacts, and adversarial tests.</w:t>
      </w:r>
    </w:p>
    <w:p>
      <w:pPr>
        <w:pStyle w:val="Heading1"/>
      </w:pPr>
      <w:r>
        <w:t>How it differs from earlier work</w:t>
      </w:r>
    </w:p>
    <w:p>
      <w:r>
        <w:t>MS #54 established signed Oracle evidence and MS #55 established the signed PostgreSQL mapping. MS #56 chains them into the first baseline-first CloudBank application transformation, limited to one synthetic customer-service contract.</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first cloudbank dark factory run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These boundaries describe MS #56's own evidence scope. Later MS65, MS66 and MS67 receipts add their separate nonproduction qualifications; they do not rewrite this milestone's signed fields.</w:t>
      </w:r>
    </w:p>
    <w:p>
      <w:pPr>
        <w:pStyle w:val="ListBullet"/>
      </w:pPr>
      <w:r>
        <w:t>Execution requires operator-held signed MS #54 and MS #55 receipts plus the same verification key.</w:t>
      </w:r>
    </w:p>
    <w:p>
      <w:pPr>
        <w:pStyle w:val="ListBullet"/>
      </w:pPr>
      <w:r>
        <w:t>A passing receipt proves only the declared synthetic customer-application contract.</w:t>
      </w:r>
    </w:p>
    <w:p>
      <w:pPr>
        <w:pStyle w:val="ListBullet"/>
      </w:pPr>
      <w:r>
        <w:t>The shared parent still supplies Oracle libraries outside this six-file workcell.</w:t>
      </w:r>
    </w:p>
    <w:p>
      <w:pPr>
        <w:pStyle w:val="ListBullet"/>
      </w:pPr>
      <w:r>
        <w:t>HTTP transport, concurrency, CDC, cutover, rollback, packaging, and production-shaped data remain outside this proof.</w:t>
      </w:r>
    </w:p>
    <w:p>
      <w:pPr>
        <w:pStyle w:val="ListBullet"/>
      </w:pPr>
      <w:r>
        <w:t>Human promotion, whole-CloudBank equivalence, migration completion, production-data equivalence, and production readiness remain false.</w:t>
      </w:r>
    </w:p>
    <w:p>
      <w:pPr>
        <w:pStyle w:val="Heading1"/>
      </w:pPr>
      <w:r>
        <w:t>Source of record</w:t>
      </w:r>
    </w:p>
    <w:p>
      <w:pPr>
        <w:pStyle w:val="ListBullet"/>
      </w:pPr>
      <w:r>
        <w:t>CHANGELOG.md release section(s): 0.56.0</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sectPr w:rsidR="00FC693F" w:rsidRPr="0006063C" w:rsidSect="00034616">
      <w:headerReference w:type="default" r:id="rId9"/>
      <w:footerReference w:type="default" r:id="rId10"/>
      <w:pgSz w:w="12240" w:h="15840"/>
      <w:pgMar w:top="1267" w:right="1440" w:bottom="1440" w:left="1440" w:header="403"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Look w:firstColumn="1" w:firstRow="1" w:lastColumn="0" w:lastRow="0" w:noHBand="0" w:noVBand="1" w:val="04A0"/>
      <w:tblW w:w="9360" w:type="dxa"/>
      <w:tblInd w:w="0" w:type="dxa"/>
      <w:tblLayout w:type="fixed"/>
    </w:tblPr>
    <w:tblGrid>
      <w:gridCol w:w="6000"/>
      <w:gridCol w:w="3360"/>
    </w:tblGrid>
    <w:tr>
      <w:tc>
        <w:tcPr>
          <w:tcW w:type="dxa" w:w="6000"/>
          <w:tcMar>
            <w:top w:w="80" w:type="dxa"/>
            <w:bottom w:w="80" w:type="dxa"/>
            <w:start w:w="120" w:type="dxa"/>
            <w:end w:w="120" w:type="dxa"/>
          </w:tcMar>
          <w:vAlign w:val="center"/>
        </w:tcPr>
        <w:p>
          <w:pPr>
            <w:spacing w:after="0"/>
            <w:jc w:val="left"/>
          </w:pPr>
          <w:r>
            <w:rPr>
              <w:rFonts w:ascii="Arial" w:hAnsi="Arial"/>
              <w:color w:val="676985"/>
              <w:sz w:val="15"/>
            </w:rPr>
            <w:t>Underlying evidence remains authoritative.</w:t>
          </w:r>
        </w:p>
      </w:tc>
      <w:tc>
        <w:tcPr>
          <w:tcW w:type="dxa" w:w="3360"/>
          <w:tcMar>
            <w:top w:w="80" w:type="dxa"/>
            <w:bottom w:w="80" w:type="dxa"/>
            <w:start w:w="120" w:type="dxa"/>
            <w:end w:w="120" w:type="dxa"/>
          </w:tcMar>
          <w:vAlign w:val="center"/>
        </w:tcPr>
        <w:p>
          <w:pPr>
            <w:spacing w:after="0"/>
            <w:jc w:val="right"/>
          </w:pPr>
          <w:r>
            <w:rPr>
              <w:rFonts w:ascii="Arial" w:hAnsi="Arial"/>
              <w:color w:val="676985"/>
              <w:sz w:val="17"/>
            </w:rPr>
            <w:t xml:space="preserve">MS #56  |  Page </w:t>
          </w:r>
          <w:r>
            <w:fldChar w:fldCharType="begin"/>
            <w:instrText>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3" w:color="A7702C"/>
      </w:pBdr>
    </w:pPr>
    <w:r>
      <w:drawing>
        <wp:inline xmlns:a="http://schemas.openxmlformats.org/drawingml/2006/main" xmlns:pic="http://schemas.openxmlformats.org/drawingml/2006/picture">
          <wp:extent cx="960120" cy="586313"/>
          <wp:docPr id="1" name="Picture 1"/>
          <wp:cNvGraphicFramePr>
            <a:graphicFrameLocks noChangeAspect="1"/>
          </wp:cNvGraphicFramePr>
          <a:graphic>
            <a:graphicData uri="http://schemas.openxmlformats.org/drawingml/2006/picture">
              <pic:pic>
                <pic:nvPicPr>
                  <pic:cNvPr id="0" name="lightyear-primary.png"/>
                  <pic:cNvPicPr/>
                </pic:nvPicPr>
                <pic:blipFill>
                  <a:blip r:embed="rId1"/>
                  <a:stretch>
                    <a:fillRect/>
                  </a:stretch>
                </pic:blipFill>
                <pic:spPr>
                  <a:xfrm>
                    <a:off x="0" y="0"/>
                    <a:ext cx="960120" cy="586313"/>
                  </a:xfrm>
                  <a:prstGeom prst="rect"/>
                </pic:spPr>
              </pic:pic>
            </a:graphicData>
          </a:graphic>
        </wp:inline>
      </w:drawing>
    </w:r>
    <w:r>
      <w:rPr>
        <w:rFonts w:ascii="Arial" w:hAnsi="Arial"/>
        <w:b/>
        <w:color w:val="676985"/>
        <w:sz w:val="16"/>
      </w:rPr>
      <w:t xml:space="preserve">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51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7D57EA"/>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7D57E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51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howardweale/lightyear-carddemo-modernization/blob/main/docs/receipts/ms67-final-635689566db6425aadf6fb1fc6cf3de7/receipts/prerequisite-ms56-dark-factory.receipt.json" TargetMode="External"/><Relationship Id="rId12" Type="http://schemas.openxmlformats.org/officeDocument/2006/relationships/hyperlink" Target="https://howardweale.github.io/lightyear-carddemo-modernization/receipt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#56 - First CloudBank Dark Factory Run</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