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#58 - CloudBank Whole-Application Transaction Wave</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Plan admitted</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0.58.0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2026-09-02</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Published execution result</w:t>
      </w:r>
    </w:p>
    <w:p>
      <w:r>
        <w:t>Published 2026-09-11: Transaction wave plan admission. The original signed receipt is retained in the completed MS67 evidence chain.</w:t>
      </w:r>
    </w:p>
    <w:p>
      <w:hyperlink r:id="rId11">
        <w:r>
          <w:rPr>
            <w:color w:val="6942D6"/>
          </w:rPr>
          <w:t>Original signed receipt 1</w:t>
        </w:r>
      </w:hyperlink>
    </w:p>
    <w:p>
      <w:hyperlink r:id="rId12">
        <w:r>
          <w:rPr>
            <w:color w:val="6942D6"/>
          </w:rPr>
          <w:t>Full MS54–67 execution evidence index</w:t>
        </w:r>
      </w:hyperlink>
    </w:p>
    <w:p>
      <w:pPr>
        <w:pStyle w:val="Heading1"/>
      </w:pPr>
      <w:r>
        <w:t>Executive summary</w:t>
      </w:r>
    </w:p>
    <w:p>
      <w:r>
        <w:t>MS #58 - CloudBank Whole-Application Transaction Wave converts a specific part of the LIGHTYEAR modernization approach into a governed, reviewable capability. Places every deployable CloudBank service under one governed migration sequence and prepares the first connected money-movement wave without confusing a complete plan with a completed migration.</w:t>
      </w:r>
    </w:p>
    <w:p>
      <w:pPr>
        <w:pStyle w:val="Heading1"/>
      </w:pPr>
      <w:r>
        <w:t>Why this matters to a customer</w:t>
      </w:r>
    </w:p>
    <w:p>
      <w:r>
        <w:t>Places every deployable CloudBank service under one governed migration sequence and prepares the first connected money-movement wave without confusing a complete plan with a completed migration.</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complete inventory of all eight root deployable services with every service assigned exactly once to a delivery wave.</w:t>
      </w:r>
    </w:p>
    <w:p>
      <w:pPr>
        <w:pStyle w:val="ListBullet"/>
      </w:pPr>
      <w:r>
        <w:t>An ordered whole-application plan covering qualified Customer, Account/Transfer transaction core, messaging/authorization, edge/auxiliary services, and production-like operations.</w:t>
      </w:r>
    </w:p>
    <w:p>
      <w:pPr>
        <w:pStyle w:val="ListBullet"/>
      </w:pPr>
      <w:r>
        <w:t>An exact 17-file Account and Transfer source contract bound to the pinned CloudBank commit and trees.</w:t>
      </w:r>
    </w:p>
    <w:p>
      <w:pPr>
        <w:pStyle w:val="ListBullet"/>
      </w:pPr>
      <w:r>
        <w:t>A 13-column PostgreSQL 16 mapping for Accounts and Journal tables, identities, constraints, timestamps, foreign keys, and explicit money-precision policy.</w:t>
      </w:r>
    </w:p>
    <w:p>
      <w:pPr>
        <w:pStyle w:val="ListBullet"/>
      </w:pPr>
      <w:r>
        <w:t>A transaction behavior contract covering success, invalid amounts, insufficient funds, deposit failure, duplicate commands, authorization denial, crash recovery, and journal replay.</w:t>
      </w:r>
    </w:p>
    <w:p>
      <w:pPr>
        <w:pStyle w:val="ListBullet"/>
      </w:pPr>
      <w:r>
        <w:t>A deterministic recovery state-model rehearsal for value conservation, compensation, idempotency, authorization order, checkpoint resume, and exact journal reconstruction.</w:t>
      </w:r>
    </w:p>
    <w:p>
      <w:pPr>
        <w:pStyle w:val="ListBullet"/>
      </w:pPr>
      <w:r>
        <w:t>A compatibility ledger that keeps Oracle AQ/JMS and MicroTx LRA replacement blocked on native semantic evidence.</w:t>
      </w:r>
    </w:p>
    <w:p>
      <w:pPr>
        <w:pStyle w:val="ListBullet"/>
      </w:pPr>
      <w:r>
        <w:t>A signed admission receipt chained to the MS #57 receipt and immutable Oracle and PostgreSQL image identities, plus schemas, launchers, CI, Control Tower status, documentation, and adversarial tests.</w:t>
      </w:r>
    </w:p>
    <w:p>
      <w:pPr>
        <w:pStyle w:val="Heading1"/>
      </w:pPr>
      <w:r>
        <w:t>How it differs from earlier work</w:t>
      </w:r>
    </w:p>
    <w:p>
      <w:r>
        <w:t>MS #57 qualified the bounded Customer service. MS #58 accounts for the whole deployable portfolio and chains that result into an admission-ready Customer, Account, and Transfer transaction wave while preserving native execution as later evidence.</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cloudbank whole-application transaction wave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These boundaries describe MS #58's own evidence scope. Later MS65, MS66 and MS67 receipts add their separate nonproduction qualifications; they do not rewrite this milestone's signed fields.</w:t>
      </w:r>
    </w:p>
    <w:p>
      <w:pPr>
        <w:pStyle w:val="ListBullet"/>
      </w:pPr>
      <w:r>
        <w:t>The milestone inventories and plans the whole application; it does not claim the whole application has migrated.</w:t>
      </w:r>
    </w:p>
    <w:p>
      <w:pPr>
        <w:pStyle w:val="ListBullet"/>
      </w:pPr>
      <w:r>
        <w:t>The committed readiness receipt is static admission evidence, not native Account or Transfer execution.</w:t>
      </w:r>
    </w:p>
    <w:p>
      <w:pPr>
        <w:pStyle w:val="ListBullet"/>
      </w:pPr>
      <w:r>
        <w:t>The recovery rehearsal is a deterministic state model, not a live distributed transaction or broker observation.</w:t>
      </w:r>
    </w:p>
    <w:p>
      <w:pPr>
        <w:pStyle w:val="ListBullet"/>
      </w:pPr>
      <w:r>
        <w:t>Oracle AQ/JMS and MicroTx LRA replacement remain unresolved until ordering, atomicity, retry, compensation, and recovery pass natively.</w:t>
      </w:r>
    </w:p>
    <w:p>
      <w:pPr>
        <w:pStyle w:val="ListBullet"/>
      </w:pPr>
      <w:r>
        <w:t>Target Account and Transfer code is not generated by this milestone.</w:t>
      </w:r>
    </w:p>
    <w:p>
      <w:pPr>
        <w:pStyle w:val="ListBullet"/>
      </w:pPr>
      <w:r>
        <w:t>Production data is not accessed, copied, profiled, or implied.</w:t>
      </w:r>
    </w:p>
    <w:p>
      <w:pPr>
        <w:pStyle w:val="ListBullet"/>
      </w:pPr>
      <w:r>
        <w:t>Whole-CloudBank equivalence, migration completion, production-data equivalence, and production readiness remain false.</w:t>
      </w:r>
    </w:p>
    <w:p>
      <w:pPr>
        <w:pStyle w:val="Heading1"/>
      </w:pPr>
      <w:r>
        <w:t>Source of record</w:t>
      </w:r>
    </w:p>
    <w:p>
      <w:pPr>
        <w:pStyle w:val="ListBullet"/>
      </w:pPr>
      <w:r>
        <w:t>CHANGELOG.md release section(s): 0.58.0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#58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receipts/ms67-final-635689566db6425aadf6fb1fc6cf3de7/receipts/prerequisite-ms58-transaction-wave.receipt.json" TargetMode="External"/><Relationship Id="rId12" Type="http://schemas.openxmlformats.org/officeDocument/2006/relationships/hyperlink" Target="https://howardweale.github.io/lightyear-carddemo-modernization/receip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#58 - CloudBank Whole-Application Transaction Wave</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