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#65 - CloudBank Production-Like Deployment and Cutover Rehearsal</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 - execution passed</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0.65.0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2026-09-03</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Published execution result</w:t>
      </w:r>
    </w:p>
    <w:p>
      <w:r>
        <w:t>Published 2026-09-11: Nonproduction deployment, cutover and rollback rehearsal. The original signed receipt is retained in the completed MS67 evidence chain. All 24 rehearsal scenarios passed, including cutover and rollback.</w:t>
      </w:r>
    </w:p>
    <w:p>
      <w:hyperlink r:id="rId11">
        <w:r>
          <w:rPr>
            <w:color w:val="6942D6"/>
          </w:rPr>
          <w:t>Original signed receipt 1</w:t>
        </w:r>
      </w:hyperlink>
    </w:p>
    <w:p>
      <w:hyperlink r:id="rId12">
        <w:r>
          <w:rPr>
            <w:color w:val="6942D6"/>
          </w:rPr>
          <w:t>Full MS54–67 execution evidence index</w:t>
        </w:r>
      </w:hyperlink>
    </w:p>
    <w:p>
      <w:pPr>
        <w:pStyle w:val="Heading1"/>
      </w:pPr>
      <w:r>
        <w:t>Executive summary</w:t>
      </w:r>
    </w:p>
    <w:p>
      <w:r>
        <w:t>MS #65 - CloudBank Production-Like Deployment and Cutover Rehearsal converts a specific part of the LIGHTYEAR modernization approach into a governed, reviewable capability. Turns the eight-service target into a hardened deployment bundle and requires backup, cutover, rollback, recovery, and service-level evidence before any production decision.</w:t>
      </w:r>
    </w:p>
    <w:p>
      <w:pPr>
        <w:pStyle w:val="Heading1"/>
      </w:pPr>
      <w:r>
        <w:t>Why this matters to a customer</w:t>
      </w:r>
    </w:p>
    <w:p>
      <w:r>
        <w:t>Turns the eight-service target into a hardened deployment bundle and requires backup, cutover, rollback, recovery, and service-level evidence before any production decision.</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signed MS #64 receipt chain, pinned source, and fresh isolated eight-service materialization.</w:t>
      </w:r>
    </w:p>
    <w:p>
      <w:pPr>
        <w:pStyle w:val="ListBullet"/>
      </w:pPr>
      <w:r>
        <w:t>Digest-only images bound to a site profile, cluster identity, namespace, configuration hash, and external secret names.</w:t>
      </w:r>
    </w:p>
    <w:p>
      <w:pPr>
        <w:pStyle w:val="ListBullet"/>
      </w:pPr>
      <w:r>
        <w:t>A deterministic Kubernetes bundle with two replicas, safe rolling updates, three health probes, resource bounds, disruption budgets, dedicated service accounts, and restricted containers.</w:t>
      </w:r>
    </w:p>
    <w:p>
      <w:pPr>
        <w:pStyle w:val="ListBullet"/>
      </w:pPr>
      <w:r>
        <w:t>Default-deny networking with bounded internal, ingress, DNS, PostgreSQL, and model egress.</w:t>
      </w:r>
    </w:p>
    <w:p>
      <w:pPr>
        <w:pStyle w:val="ListBullet"/>
      </w:pPr>
      <w:r>
        <w:t>Twenty-four signed checks for rollout, backup and exact restore, smoke, canary, traffic switch, business checks, mandatory rollback, recovery, and a 100-request zero-error SLO window.</w:t>
      </w:r>
    </w:p>
    <w:p>
      <w:pPr>
        <w:pStyle w:val="ListBullet"/>
      </w:pPr>
      <w:r>
        <w:t>Deterministic contracts and receipts, cross-platform launchers, CI, Control Tower projection, schemas, documentation, and adversarial tests.</w:t>
      </w:r>
    </w:p>
    <w:p>
      <w:pPr>
        <w:pStyle w:val="Heading1"/>
      </w:pPr>
      <w:r>
        <w:t>How it differs from earlier work</w:t>
      </w:r>
    </w:p>
    <w:p>
      <w:r>
        <w:t>MS #64 executed all eight target workcells. MS #65 binds that signed result to immutable images and an authorized non-production rehearsal; customer production remains a separate decision.</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cloudbank production-like deployment and cutover rehearsal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These boundaries describe MS #65's own evidence scope. Later MS65, MS66 and MS67 receipts add their separate nonproduction qualifications; they do not rewrite this milestone's signed fields.</w:t>
      </w:r>
    </w:p>
    <w:p>
      <w:pPr>
        <w:pStyle w:val="ListBullet"/>
      </w:pPr>
      <w:r>
        <w:t>No secret values, production data, backups, raw logs, prompts, responses, or customer runtime output are stored.</w:t>
      </w:r>
    </w:p>
    <w:p>
      <w:pPr>
        <w:pStyle w:val="ListBullet"/>
      </w:pPr>
      <w:r>
        <w:t>Native CDC, customer change authority, enterprise identity and secret rotation, Oracle AQ equivalence, real credit decisions, model quality, whole-application equivalence, migration completion, production deployment, and production readiness remain false.</w:t>
      </w:r>
    </w:p>
    <w:p>
      <w:pPr>
        <w:pStyle w:val="Heading1"/>
      </w:pPr>
      <w:r>
        <w:t>Source of record</w:t>
      </w:r>
    </w:p>
    <w:p>
      <w:pPr>
        <w:pStyle w:val="ListBullet"/>
      </w:pPr>
      <w:r>
        <w:t>CHANGELOG.md release section(s): 0.65.0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#65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receipts/ms67-final-635689566db6425aadf6fb1fc6cf3de7/receipts/retained-ms65.json" TargetMode="External"/><Relationship Id="rId12" Type="http://schemas.openxmlformats.org/officeDocument/2006/relationships/hyperlink" Target="https://howardweale.github.io/lightyear-carddemo-modernization/receip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#65 - CloudBank Production-Like Deployment and Cutover Rehearsal</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