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b/>
          <w:color w:val="A7702C"/>
          <w:sz w:val="18"/>
        </w:rPr>
        <w:t>CUSTOMER MILESTONE BRIEF</w:t>
      </w:r>
    </w:p>
    <w:p>
      <w:pPr>
        <w:spacing w:after="160"/>
      </w:pPr>
      <w:r>
        <w:rPr>
          <w:rFonts w:ascii="Arial" w:hAnsi="Arial"/>
          <w:b/>
          <w:color w:val="15184D"/>
          <w:sz w:val="56"/>
        </w:rPr>
        <w:t>MS #67 - CloudBank Real Non-Production Platform Qualification</w:t>
      </w:r>
    </w:p>
    <w:p>
      <w:pPr>
        <w:spacing w:after="360"/>
      </w:pPr>
      <w:r>
        <w:rPr>
          <w:rFonts w:ascii="Arial" w:hAnsi="Arial"/>
          <w:color w:val="676985"/>
          <w:sz w:val="27"/>
        </w:rPr>
        <w:t>Purpose, customer value, delivered capability, evidence, and claim boundaries</w:t>
      </w:r>
    </w:p>
    <w:tbl>
      <w:tblPr>
        <w:tblStyle w:val="TableGrid"/>
        <w:tblLook w:firstColumn="1" w:firstRow="1" w:lastColumn="0" w:lastRow="0" w:noHBand="0" w:noVBand="1" w:val="04A0"/>
        <w:tblW w:w="9360" w:type="dxa"/>
        <w:tblInd w:w="120" w:type="dxa"/>
        <w:tblLayout w:type="fixed"/>
      </w:tblPr>
      <w:tblGrid>
        <w:gridCol w:w="2700"/>
        <w:gridCol w:w="6660"/>
      </w:tblGrid>
      <w:tr>
        <w:tc>
          <w:tcPr>
            <w:tcW w:type="dxa" w:w="2700"/>
            <w:tcMar>
              <w:top w:w="80" w:type="dxa"/>
              <w:bottom w:w="80" w:type="dxa"/>
              <w:start w:w="120" w:type="dxa"/>
              <w:end w:w="120" w:type="dxa"/>
            </w:tcMar>
            <w:vAlign w:val="center"/>
            <w:shd w:fill="EFEBFB"/>
          </w:tcPr>
          <w:p>
            <w:r>
              <w:rPr>
                <w:rFonts w:ascii="Arial" w:hAnsi="Arial"/>
                <w:b/>
                <w:color w:val="15184D"/>
              </w:rPr>
              <w:t>Status</w:t>
            </w:r>
          </w:p>
        </w:tc>
        <w:tc>
          <w:tcPr>
            <w:tcW w:type="dxa" w:w="6660"/>
            <w:tcMar>
              <w:top w:w="80" w:type="dxa"/>
              <w:bottom w:w="80" w:type="dxa"/>
              <w:start w:w="120" w:type="dxa"/>
              <w:end w:w="120" w:type="dxa"/>
            </w:tcMar>
            <w:vAlign w:val="center"/>
          </w:tcPr>
          <w:p>
            <w:r>
              <w:rPr>
                <w:rFonts w:ascii="Arial" w:hAnsi="Arial"/>
              </w:rPr>
              <w:t>Complete - execution passed</w:t>
            </w:r>
          </w:p>
        </w:tc>
      </w:tr>
      <w:tr>
        <w:tc>
          <w:tcPr>
            <w:tcW w:type="dxa" w:w="2700"/>
            <w:tcMar>
              <w:top w:w="80" w:type="dxa"/>
              <w:bottom w:w="80" w:type="dxa"/>
              <w:start w:w="120" w:type="dxa"/>
              <w:end w:w="120" w:type="dxa"/>
            </w:tcMar>
            <w:vAlign w:val="center"/>
            <w:shd w:fill="EFEBFB"/>
          </w:tcPr>
          <w:p>
            <w:r>
              <w:rPr>
                <w:rFonts w:ascii="Arial" w:hAnsi="Arial"/>
                <w:b/>
                <w:color w:val="15184D"/>
              </w:rPr>
              <w:t>Release</w:t>
            </w:r>
          </w:p>
        </w:tc>
        <w:tc>
          <w:tcPr>
            <w:tcW w:type="dxa" w:w="6660"/>
            <w:tcMar>
              <w:top w:w="80" w:type="dxa"/>
              <w:bottom w:w="80" w:type="dxa"/>
              <w:start w:w="120" w:type="dxa"/>
              <w:end w:w="120" w:type="dxa"/>
            </w:tcMar>
            <w:vAlign w:val="center"/>
          </w:tcPr>
          <w:p>
            <w:r>
              <w:rPr>
                <w:rFonts w:ascii="Arial" w:hAnsi="Arial"/>
              </w:rPr>
              <w:t>0.67.0</w:t>
            </w:r>
          </w:p>
        </w:tc>
      </w:tr>
      <w:tr>
        <w:tc>
          <w:tcPr>
            <w:tcW w:type="dxa" w:w="2700"/>
            <w:tcMar>
              <w:top w:w="80" w:type="dxa"/>
              <w:bottom w:w="80" w:type="dxa"/>
              <w:start w:w="120" w:type="dxa"/>
              <w:end w:w="120" w:type="dxa"/>
            </w:tcMar>
            <w:vAlign w:val="center"/>
            <w:shd w:fill="EFEBFB"/>
          </w:tcPr>
          <w:p>
            <w:r>
              <w:rPr>
                <w:rFonts w:ascii="Arial" w:hAnsi="Arial"/>
                <w:b/>
                <w:color w:val="15184D"/>
              </w:rPr>
              <w:t>Date</w:t>
            </w:r>
          </w:p>
        </w:tc>
        <w:tc>
          <w:tcPr>
            <w:tcW w:type="dxa" w:w="6660"/>
            <w:tcMar>
              <w:top w:w="80" w:type="dxa"/>
              <w:bottom w:w="80" w:type="dxa"/>
              <w:start w:w="120" w:type="dxa"/>
              <w:end w:w="120" w:type="dxa"/>
            </w:tcMar>
            <w:vAlign w:val="center"/>
          </w:tcPr>
          <w:p>
            <w:r>
              <w:rPr>
                <w:rFonts w:ascii="Arial" w:hAnsi="Arial"/>
              </w:rPr>
              <w:t>2026-09-03</w:t>
            </w:r>
          </w:p>
        </w:tc>
      </w:tr>
      <w:tr>
        <w:tc>
          <w:tcPr>
            <w:tcW w:type="dxa" w:w="2700"/>
            <w:tcMar>
              <w:top w:w="80" w:type="dxa"/>
              <w:bottom w:w="80" w:type="dxa"/>
              <w:start w:w="120" w:type="dxa"/>
              <w:end w:w="120" w:type="dxa"/>
            </w:tcMar>
            <w:vAlign w:val="center"/>
            <w:shd w:fill="EFEBFB"/>
          </w:tcPr>
          <w:p>
            <w:r>
              <w:rPr>
                <w:rFonts w:ascii="Arial" w:hAnsi="Arial"/>
                <w:b/>
                <w:color w:val="15184D"/>
              </w:rPr>
              <w:t>Audience</w:t>
            </w:r>
          </w:p>
        </w:tc>
        <w:tc>
          <w:tcPr>
            <w:tcW w:type="dxa" w:w="6660"/>
            <w:tcMar>
              <w:top w:w="80" w:type="dxa"/>
              <w:bottom w:w="80" w:type="dxa"/>
              <w:start w:w="120" w:type="dxa"/>
              <w:end w:w="120" w:type="dxa"/>
            </w:tcMar>
            <w:vAlign w:val="center"/>
          </w:tcPr>
          <w:p>
            <w:r>
              <w:rPr>
                <w:rFonts w:ascii="Arial" w:hAnsi="Arial"/>
              </w:rPr>
              <w:t>Customers, partners, executives, architects, delivery teams, and assurance reviewers</w:t>
            </w:r>
          </w:p>
        </w:tc>
      </w:tr>
    </w:tbl>
    <w:p>
      <w:pPr>
        <w:pStyle w:val="Heading1"/>
      </w:pPr>
      <w:r>
        <w:t>Published execution result</w:t>
      </w:r>
    </w:p>
    <w:p>
      <w:r>
        <w:t>Published 2026-09-11: Real nonproduction platform qualification. The original signed receipt is retained in the completed MS67 evidence chain. All 28 platform scenarios passed. Regional load: 300 seconds, 10 virtual users, 5,451 requests, zero errors, aggregate p95 160.69 ms. PITR: 622 seconds against the approved 630-second nonproduction limit; backup restore: 455 seconds; RPO: 18 seconds. Measurements are unchanged.</w:t>
      </w:r>
    </w:p>
    <w:p>
      <w:hyperlink r:id="rId11">
        <w:r>
          <w:rPr>
            <w:color w:val="6942D6"/>
          </w:rPr>
          <w:t>Original signed receipt 1</w:t>
        </w:r>
      </w:hyperlink>
    </w:p>
    <w:p>
      <w:hyperlink r:id="rId12">
        <w:r>
          <w:rPr>
            <w:color w:val="6942D6"/>
          </w:rPr>
          <w:t>Full MS54–67 execution evidence index</w:t>
        </w:r>
      </w:hyperlink>
    </w:p>
    <w:p>
      <w:pPr>
        <w:pStyle w:val="Heading1"/>
      </w:pPr>
      <w:r>
        <w:t>Executive summary</w:t>
      </w:r>
    </w:p>
    <w:p>
      <w:r>
        <w:t>MS #67 - CloudBank Real Non-Production Platform Qualification converts a specific part of the LIGHTYEAR modernization approach into a governed, reviewable capability. Turns the deployment design into a deployable managed-cloud platform and makes operational claims depend on signed live Kubernetes evidence rather than architecture documents.</w:t>
      </w:r>
    </w:p>
    <w:p>
      <w:pPr>
        <w:pStyle w:val="Heading1"/>
      </w:pPr>
      <w:r>
        <w:t>Why this matters to a customer</w:t>
      </w:r>
    </w:p>
    <w:p>
      <w:r>
        <w:t>Turns the deployment design into a deployable managed-cloud platform and makes operational claims depend on signed live Kubernetes evidence rather than architecture documents.</w:t>
      </w:r>
    </w:p>
    <w:p>
      <w:r>
        <w:t>The practical result is a narrower, evidence-backed decision instead of a broad modernization claim. Commercial, architecture, delivery, security, and assurance teams can review the same capability, proof, and limits.</w:t>
      </w:r>
    </w:p>
    <w:p>
      <w:pPr>
        <w:pStyle w:val="Heading1"/>
      </w:pPr>
      <w:r>
        <w:t>What the milestone delivers</w:t>
      </w:r>
    </w:p>
    <w:p>
      <w:pPr>
        <w:pStyle w:val="ListBullet"/>
      </w:pPr>
      <w:r>
        <w:t>A signed MS #65/MS #66 receipt chain and signed platform profile bound to one real, explicitly authorized non-production context.</w:t>
      </w:r>
    </w:p>
    <w:p>
      <w:pPr>
        <w:pStyle w:val="ListBullet"/>
      </w:pPr>
      <w:r>
        <w:t>An ephemeral regional GKE Standard implementation with private nodes across three zones, Workload Identity, Dataplane V2, bounded administrator access, Artifact Registry, Cloud DNS, and explicit teardown.</w:t>
      </w:r>
    </w:p>
    <w:p>
      <w:pPr>
        <w:pStyle w:val="ListBullet"/>
      </w:pPr>
      <w:r>
        <w:t>Cloud SQL PostgreSQL regional high availability, automated backup and point-in-time recovery, exact restored-state comparison, and bounded RPO/RTO evidence.</w:t>
      </w:r>
    </w:p>
    <w:p>
      <w:pPr>
        <w:pStyle w:val="ListBullet"/>
      </w:pPr>
      <w:r>
        <w:t>Digest-only Java 21 service images with verified OpenTelemetry agent input, Cloud KMS Cosign signatures and provenance, and Trivy scanning that admits no critical or high findings.</w:t>
      </w:r>
    </w:p>
    <w:p>
      <w:pPr>
        <w:pStyle w:val="ListBullet"/>
      </w:pPr>
      <w:r>
        <w:t>Secret Manager through External Secrets Operator without static Google service-account keys or committed values, including synchronization and rotation evidence for all eight services.</w:t>
      </w:r>
    </w:p>
    <w:p>
      <w:pPr>
        <w:pStyle w:val="ListBullet"/>
      </w:pPr>
      <w:r>
        <w:t>Trusted public TLS through cert-manager and ingress-nginx; OpenTelemetry metrics and traces, Cloud Logging, all-service correlation, and alert fire/recovery evidence.</w:t>
      </w:r>
    </w:p>
    <w:p>
      <w:pPr>
        <w:pStyle w:val="ListBullet"/>
      </w:pPr>
      <w:r>
        <w:t>A minimum five-minute, 1,000-request, concurrency-10 k6 window with zero errors and p95 no greater than 500 milliseconds.</w:t>
      </w:r>
    </w:p>
    <w:p>
      <w:pPr>
        <w:pStyle w:val="ListBullet"/>
      </w:pPr>
      <w:r>
        <w:t>Controlled node and failure-domain evacuation, zero-unavailable rolling deployment for all eight services, canary cutover, all 18 business journeys, mandatory rollback, and recovery.</w:t>
      </w:r>
    </w:p>
    <w:p>
      <w:pPr>
        <w:pStyle w:val="ListBullet"/>
      </w:pPr>
      <w:r>
        <w:t>Twenty-eight exact signed scenarios, four schemas, minimized evidence receipts, cross-platform admission launchers, GKE scripts and runbook, CI, Control Tower projection, and adversarial tests.</w:t>
      </w:r>
    </w:p>
    <w:p>
      <w:pPr>
        <w:pStyle w:val="Heading1"/>
      </w:pPr>
      <w:r>
        <w:t>How it differs from earlier work</w:t>
      </w:r>
    </w:p>
    <w:p>
      <w:r>
        <w:t>MS #65 designed and admitted a production-like rehearsal, while MS #66 proved bounded eight-service business equivalence. MS #67 chains both results into the first real managed Kubernetes platform implementation and preserves customer-specific production certification for MS #68.</w:t>
      </w:r>
    </w:p>
    <w:p>
      <w:r>
        <w:t>Earlier evidence is not automatically promoted into this milestone. A parser, simulator, local comparison, or generated artifact is not live platform equivalence or production readiness.</w:t>
      </w:r>
    </w:p>
    <w:p>
      <w:pPr>
        <w:pStyle w:val="Heading1"/>
      </w:pPr>
      <w:r>
        <w:t>What a customer can do with it</w:t>
      </w:r>
    </w:p>
    <w:p>
      <w:r>
        <w:t>A customer can use cloudbank real non-production platform qualification as a bounded decision and delivery capability, attached to approved sources, owners, policies, target architecture, acceptance criteria, and authorized evidence.</w:t>
      </w:r>
    </w:p>
    <w:p>
      <w:r>
        <w:t>Unresolved semantic loss, policy decisions, unsupported behavior, and live-evidence requirements remain visible.</w:t>
      </w:r>
    </w:p>
    <w:p>
      <w:pPr>
        <w:pStyle w:val="Heading1"/>
      </w:pPr>
      <w:r>
        <w:t>Evidence and acceptance posture</w:t>
      </w:r>
    </w:p>
    <w:p>
      <w:r>
        <w:t>The repository capability is complete because its committed implementation and release record are present. Customer qualification remains claim-specific and evidence-class-specific.</w:t>
      </w:r>
    </w:p>
    <w:p>
      <w:r>
        <w:t>Review exact source and artifact identities, distinguish development from authorized live evidence, inspect policy and loss classifications, confirm passed and blocked gates, and verify that later changes have not invalidated the evidence.</w:t>
      </w:r>
    </w:p>
    <w:p>
      <w:pPr>
        <w:pStyle w:val="Heading1"/>
      </w:pPr>
      <w:r>
        <w:t>Boundaries and claims not made</w:t>
      </w:r>
    </w:p>
    <w:p>
      <w:pPr>
        <w:pStyle w:val="ListBullet"/>
      </w:pPr>
      <w:r>
        <w:t>These boundaries describe MS #67's own evidence scope. Later MS65, MS66 and MS67 receipts add their separate nonproduction qualifications; they do not rewrite this milestone's signed fields.</w:t>
      </w:r>
    </w:p>
    <w:p>
      <w:pPr>
        <w:pStyle w:val="ListBullet"/>
      </w:pPr>
      <w:r>
        <w:t>The controlled failure-domain evacuation is not represented as an actual Google Cloud zone outage.</w:t>
      </w:r>
    </w:p>
    <w:p>
      <w:pPr>
        <w:pStyle w:val="ListBullet"/>
      </w:pPr>
      <w:r>
        <w:t>Customer IdP, representative customer data volume and workload, the customer's formal approval process, migration completion, production deployment, and final signed production readiness remain MS #68.</w:t>
      </w:r>
    </w:p>
    <w:p>
      <w:pPr>
        <w:pStyle w:val="Heading1"/>
      </w:pPr>
      <w:r>
        <w:t>Source of record</w:t>
      </w:r>
    </w:p>
    <w:p>
      <w:pPr>
        <w:pStyle w:val="ListBullet"/>
      </w:pPr>
      <w:r>
        <w:t>CHANGELOG.md release section(s): 0.67.0</w:t>
      </w:r>
    </w:p>
    <w:p>
      <w:pPr>
        <w:pStyle w:val="ListBullet"/>
      </w:pPr>
      <w:r>
        <w:t>README.md product and operating guidance</w:t>
      </w:r>
    </w:p>
    <w:p>
      <w:pPr>
        <w:pStyle w:val="ListBullet"/>
      </w:pPr>
      <w:r>
        <w:t>LIGHTYEAR-ROADMAP.md governing sequence and claim classifications</w:t>
      </w:r>
    </w:p>
    <w:p>
      <w:pPr>
        <w:pStyle w:val="ListBullet"/>
      </w:pPr>
      <w:r>
        <w:t>docs/milestones/catalog.json metadata and docs/milestones/manifest.json artifact integrity</w:t>
      </w:r>
    </w:p>
    <w:sectPr w:rsidR="00FC693F" w:rsidRPr="0006063C" w:rsidSect="00034616">
      <w:headerReference w:type="default" r:id="rId9"/>
      <w:footerReference w:type="default" r:id="rId10"/>
      <w:pgSz w:w="12240" w:h="15840"/>
      <w:pgMar w:top="1267" w:right="1440" w:bottom="1440" w:left="1440" w:header="403"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Look w:firstColumn="1" w:firstRow="1" w:lastColumn="0" w:lastRow="0" w:noHBand="0" w:noVBand="1" w:val="04A0"/>
      <w:tblW w:w="9360" w:type="dxa"/>
      <w:tblInd w:w="0" w:type="dxa"/>
      <w:tblLayout w:type="fixed"/>
    </w:tblPr>
    <w:tblGrid>
      <w:gridCol w:w="6000"/>
      <w:gridCol w:w="3360"/>
    </w:tblGrid>
    <w:tr>
      <w:tc>
        <w:tcPr>
          <w:tcW w:type="dxa" w:w="6000"/>
          <w:tcMar>
            <w:top w:w="80" w:type="dxa"/>
            <w:bottom w:w="80" w:type="dxa"/>
            <w:start w:w="120" w:type="dxa"/>
            <w:end w:w="120" w:type="dxa"/>
          </w:tcMar>
          <w:vAlign w:val="center"/>
        </w:tcPr>
        <w:p>
          <w:pPr>
            <w:spacing w:after="0"/>
            <w:jc w:val="left"/>
          </w:pPr>
          <w:r>
            <w:rPr>
              <w:rFonts w:ascii="Arial" w:hAnsi="Arial"/>
              <w:color w:val="676985"/>
              <w:sz w:val="15"/>
            </w:rPr>
            <w:t>Underlying evidence remains authoritative.</w:t>
          </w:r>
        </w:p>
      </w:tc>
      <w:tc>
        <w:tcPr>
          <w:tcW w:type="dxa" w:w="3360"/>
          <w:tcMar>
            <w:top w:w="80" w:type="dxa"/>
            <w:bottom w:w="80" w:type="dxa"/>
            <w:start w:w="120" w:type="dxa"/>
            <w:end w:w="120" w:type="dxa"/>
          </w:tcMar>
          <w:vAlign w:val="center"/>
        </w:tcPr>
        <w:p>
          <w:pPr>
            <w:spacing w:after="0"/>
            <w:jc w:val="right"/>
          </w:pPr>
          <w:r>
            <w:rPr>
              <w:rFonts w:ascii="Arial" w:hAnsi="Arial"/>
              <w:color w:val="676985"/>
              <w:sz w:val="17"/>
            </w:rPr>
            <w:t xml:space="preserve">MS #67  |  Page </w:t>
          </w:r>
          <w:r>
            <w:fldChar w:fldCharType="begin"/>
            <w:instrText>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7" w:space="3" w:color="A7702C"/>
      </w:pBdr>
    </w:pPr>
    <w:r>
      <w:drawing>
        <wp:inline xmlns:a="http://schemas.openxmlformats.org/drawingml/2006/main" xmlns:pic="http://schemas.openxmlformats.org/drawingml/2006/picture">
          <wp:extent cx="960120" cy="586313"/>
          <wp:docPr id="1" name="Picture 1"/>
          <wp:cNvGraphicFramePr>
            <a:graphicFrameLocks noChangeAspect="1"/>
          </wp:cNvGraphicFramePr>
          <a:graphic>
            <a:graphicData uri="http://schemas.openxmlformats.org/drawingml/2006/picture">
              <pic:pic>
                <pic:nvPicPr>
                  <pic:cNvPr id="0" name="lightyear-primary.png"/>
                  <pic:cNvPicPr/>
                </pic:nvPicPr>
                <pic:blipFill>
                  <a:blip r:embed="rId1"/>
                  <a:stretch>
                    <a:fillRect/>
                  </a:stretch>
                </pic:blipFill>
                <pic:spPr>
                  <a:xfrm>
                    <a:off x="0" y="0"/>
                    <a:ext cx="960120" cy="586313"/>
                  </a:xfrm>
                  <a:prstGeom prst="rect"/>
                </pic:spPr>
              </pic:pic>
            </a:graphicData>
          </a:graphic>
        </wp:inline>
      </w:drawing>
    </w:r>
    <w:r>
      <w:rPr>
        <w:rFonts w:ascii="Arial" w:hAnsi="Arial"/>
        <w:b/>
        <w:color w:val="676985"/>
        <w:sz w:val="16"/>
      </w:rPr>
      <w:t xml:space="preserve">   MILESTONE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518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7D57EA"/>
      <w:sz w:val="31"/>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7D57E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518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720" w:hanging="3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ind w:left="720" w:hanging="360"/>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howardweale/lightyear-carddemo-modernization/blob/main/docs/receipts/ms67-final-635689566db6425aadf6fb1fc6cf3de7/receipts/ms67-platform-receipt.json" TargetMode="External"/><Relationship Id="rId12" Type="http://schemas.openxmlformats.org/officeDocument/2006/relationships/hyperlink" Target="https://howardweale.github.io/lightyear-carddemo-modernization/receipt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#67 - CloudBank Real Non-Production Platform Qualification</dc:title>
  <dc:subject>LIGHTYEAR customer milestone documentation</dc:subject>
  <dc:creator>LIGHTYEAR</dc:creator>
  <cp:keywords/>
  <dc:description>generated by python-docx</dc:description>
  <cp:lastModifiedBy/>
  <cp:revision>1</cp:revision>
  <dcterms:created xsi:type="dcterms:W3CDTF">2026-08-31T12:00:00Z</dcterms:created>
  <dcterms:modified xsi:type="dcterms:W3CDTF">2026-08-31T12:00:00Z</dcterms:modified>
  <cp:category/>
</cp:coreProperties>
</file>