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#16 - Durable Factory Recovery Control Plane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0.16.0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2026-08-15</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#16 - Durable Factory Recovery Control Plane converts a specific part of the LIGHTYEAR modernization approach into a governed, reviewable capability. Makes long-running factory work recoverable across interruption, restart, and controller failure.</w:t>
      </w:r>
    </w:p>
    <w:p>
      <w:pPr>
        <w:pStyle w:val="Heading1"/>
      </w:pPr>
      <w:r>
        <w:t>Why this matters to a customer</w:t>
      </w:r>
    </w:p>
    <w:p>
      <w:r>
        <w:t>Makes long-running factory work recoverable across interruption, restart, and controller failure.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transactional durable control plane with a SQLite WAL reference backend and explicit contracts suitable for PostgreSQL and immutable object-store production adapters.</w:t>
      </w:r>
    </w:p>
    <w:p>
      <w:pPr>
        <w:pStyle w:val="ListBullet"/>
      </w:pPr>
      <w:r>
        <w:t>Added atomic worker leasing, opaque bearer tokens stored only as SHA-256 digests, bounded heartbeats, lease expiry recovery, retry backoff and terminal dead-letter handling.</w:t>
      </w:r>
    </w:p>
    <w:p>
      <w:pPr>
        <w:pStyle w:val="ListBullet"/>
      </w:pPr>
      <w:r>
        <w:t>Added crash-safe wave barriers and idempotent completion: passed cells are never dispatched twice and successor waves remain unavailable until every predecessor has passed.</w:t>
      </w:r>
    </w:p>
    <w:p>
      <w:pPr>
        <w:pStyle w:val="ListBullet"/>
      </w:pPr>
      <w:r>
        <w:t>Added exactly-once consumption of human portfolio approvals, exact work-order identity checks, content-addressed receipt indexing and a tamper-evident durable event chain.</w:t>
      </w:r>
    </w:p>
    <w:p>
      <w:pPr>
        <w:pStyle w:val="ListBullet"/>
      </w:pPr>
      <w:r>
        <w:t>Added cross-platform durable queue commands, versioned lease/state/snapshot schemas, operator guidance and a strictly read-only Recovery Control Tower with no dispatch authority.</w:t>
      </w:r>
    </w:p>
    <w:p>
      <w:pPr>
        <w:pStyle w:val="ListBullet"/>
      </w:pPr>
      <w:r>
        <w:t>Added concurrent lease, worker termination, stale-token, replay, retry, dead-letter, wave-barrier, artifact-index and event-tampering tests plus full verification integration.</w:t>
      </w:r>
    </w:p>
    <w:p>
      <w:pPr>
        <w:pStyle w:val="Heading1"/>
      </w:pPr>
      <w:r>
        <w:t>How it differs from earlier work</w:t>
      </w:r>
    </w:p>
    <w:p>
      <w:r>
        <w:t>MS #16 builds on MS #15 (Conflict-Aware Portfolio Factory). The earlier milestone established its own bounded capability; this milestone adds durable factory recovery control plane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durable factory recovery control plane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0.16.0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#16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740"/>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740"/>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#16 - Durable Factory Recovery Control Plane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