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#25 - Reproducible PL/I Build Attestation</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0.25.0, 0.25.1</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2026-08-27 to 2026-08-27</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#25 - Reproducible PL/I Build Attestation converts a specific part of the LIGHTYEAR modernization approach into a governed, reviewable capability. Makes the bounded PL/I candidate build reproducible and binds the artifact to its exact source and toolchain evidence.</w:t>
      </w:r>
    </w:p>
    <w:p>
      <w:pPr>
        <w:pStyle w:val="Heading1"/>
      </w:pPr>
      <w:r>
        <w:t>Why this matters to a customer</w:t>
      </w:r>
    </w:p>
    <w:p>
      <w:r>
        <w:t>Makes the bounded PL/I candidate build reproducible and binds the artifact to its exact source and toolchain evidence.</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a JDK-17-only reproducible builder for the bounded PL/I modernization service JAR.</w:t>
      </w:r>
    </w:p>
    <w:p>
      <w:pPr>
        <w:pStyle w:val="ListBullet"/>
      </w:pPr>
      <w:r>
        <w:t>Added five deterministic execution checks with a JUnit-compatible XML report.</w:t>
      </w:r>
    </w:p>
    <w:p>
      <w:pPr>
        <w:pStyle w:val="ListBullet"/>
      </w:pPr>
      <w:r>
        <w:t>Added a content-addressed dependency inventory and CycloneDX 1.5 SBOM.</w:t>
      </w:r>
    </w:p>
    <w:p>
      <w:pPr>
        <w:pStyle w:val="ListBullet"/>
      </w:pPr>
      <w:r>
        <w:t>Added SLSA-shaped provenance binding the clean source commit, compiled JAR, test report, SBOM, dependency inventory, and MS #22 behavior evidence.</w:t>
      </w:r>
    </w:p>
    <w:p>
      <w:pPr>
        <w:pStyle w:val="ListBullet"/>
      </w:pPr>
      <w:r>
        <w:t>Added asymmetric RSA development signatures with a hard non-release boundary and pure-Python verification against a pinned public trust anchor.</w:t>
      </w:r>
    </w:p>
    <w:p>
      <w:pPr>
        <w:pStyle w:val="ListBullet"/>
      </w:pPr>
      <w:r>
        <w:t>Added GitHub workload-identity build and SBOM attestations using repository OIDC.</w:t>
      </w:r>
    </w:p>
    <w:p>
      <w:pPr>
        <w:pStyle w:val="ListBullet"/>
      </w:pPr>
      <w:r>
        <w:t>Made missing, stale, tampered, foreign-workflow, replayed, or incorrectly signed build evidence demote PL/I development readiness.</w:t>
      </w:r>
    </w:p>
    <w:p>
      <w:pPr>
        <w:pStyle w:val="ListBullet"/>
      </w:pPr>
      <w:r>
        <w:t>Added tamper tests for the JAR, JUnit XML, dependency inventory, commit, workflow, and release overclaim while keeping live PL/I equivalence and production readiness blocked.</w:t>
      </w:r>
    </w:p>
    <w:p>
      <w:pPr>
        <w:pStyle w:val="ListBullet"/>
      </w:pPr>
      <w:r>
        <w:t>Made deterministic PL/I artifact verification survive a squash merge without weakening the committed source-tree, signature, workflow, or artifact bindings.</w:t>
      </w:r>
    </w:p>
    <w:p>
      <w:pPr>
        <w:pStyle w:val="ListBullet"/>
      </w:pPr>
      <w:r>
        <w:t>Preserved exact receipt and attestation comparison whenever the recorded pre-evidence commit is reachable; otherwise compare the four portable build products byte-for-byte.</w:t>
      </w:r>
    </w:p>
    <w:p>
      <w:pPr>
        <w:pStyle w:val="Heading1"/>
      </w:pPr>
      <w:r>
        <w:t>How it differs from earlier work</w:t>
      </w:r>
    </w:p>
    <w:p>
      <w:r>
        <w:t>MS #25 builds on MS #24 (PL/I Discovery Conformance Lab). The earlier milestone established its own bounded capability; this milestone adds reproducible pl/i build attestation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reproducible pl/i build attestation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This milestone establishes only the bounded capabilities and evidence listed here; later capabilities are not retroactive.</w:t>
      </w:r>
    </w:p>
    <w:p>
      <w:pPr>
        <w:pStyle w:val="ListBullet"/>
      </w:pPr>
      <w:r>
        <w:t>Production readiness and platform equivalence require the explicit evidence and policy gates applicable to the customer environment.</w:t>
      </w:r>
    </w:p>
    <w:p>
      <w:pPr>
        <w:pStyle w:val="Heading1"/>
      </w:pPr>
      <w:r>
        <w:t>Source of record</w:t>
      </w:r>
    </w:p>
    <w:p>
      <w:pPr>
        <w:pStyle w:val="ListBullet"/>
      </w:pPr>
      <w:r>
        <w:t>CHANGELOG.md release section(s): 0.25.0, 0.25.1</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Pr>
        <w:rFonts w:ascii="Arial" w:hAnsi="Arial"/>
        <w:color w:val="676985"/>
        <w:sz w:val="15"/>
      </w:rPr>
      <w:t>Underlying evidence remains authoritative.</w:t>
    </w:r>
    <w:r>
      <w:rPr>
        <w:rFonts w:ascii="Arial" w:hAnsi="Arial"/>
        <w:color w:val="676985"/>
        <w:sz w:val="17"/>
      </w:rPr>
      <w:tab/>
      <w:t xml:space="preserve">MS #25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740"/>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740"/>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#25 - Reproducible PL/I Build Attestation</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