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#68 - iDempiere Dialect Inventory and Pairing</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deterministic source-bound evidence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0.68.0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2026-09-11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#68 - iDempiere Dialect Inventory and Pairing converts a specific part of the LIGHTYEAR modernization approach into a governed, reviewable capability. Accounts for every current Oracle and PostgreSQL migration script in the pinned iDempiere estate and gives the next comparison stage a reproducible coverage denominator.</w:t>
      </w:r>
    </w:p>
    <w:p>
      <w:pPr>
        <w:pStyle w:val="Heading1"/>
      </w:pPr>
      <w:r>
        <w:t>Why this matters to a customer</w:t>
      </w:r>
    </w:p>
    <w:p>
      <w:r>
        <w:t>Accounts for every current Oracle and PostgreSQL migration script in the pinned iDempiere estate and gives the next comparison stage a reproducible coverage denominator.</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All 1,078 Oracle and 1,078 PostgreSQL current migration scripts paired at the existing release-13 commit, with no unpaired files.</w:t>
      </w:r>
    </w:p>
    <w:p>
      <w:pPr>
        <w:pStyle w:val="ListBullet"/>
      </w:pPr>
      <w:r>
        <w:t>A deterministic pairing manifest with 1,077 exact release and filename matches and one unique same-release IDEMPIERE-5963 ticket match.</w:t>
      </w:r>
    </w:p>
    <w:p>
      <w:pPr>
        <w:pStyle w:val="ListBullet"/>
      </w:pPr>
      <w:r>
        <w:t>A 93-pair order-to-cash pilot selected from lexical references to the existing nine-table business slice.</w:t>
      </w:r>
    </w:p>
    <w:p>
      <w:pPr>
        <w:pStyle w:val="ListBullet"/>
      </w:pPr>
      <w:r>
        <w:t>Logical and transport hashes for every script, plus 31 observed logical-content-identical pairs without a semantic-equivalence verdict.</w:t>
      </w:r>
    </w:p>
    <w:p>
      <w:pPr>
        <w:pStyle w:val="ListBullet"/>
      </w:pPr>
      <w:r>
        <w:t>A nine-file database-provider and conversion boundary, including the logger that writes both Oracle and PostgreSQL migration outputs.</w:t>
      </w:r>
    </w:p>
    <w:p>
      <w:pPr>
        <w:pStyle w:val="ListBullet"/>
      </w:pPr>
      <w:r>
        <w:t>A content-addressed Stage 1 receipt, two schemas, source-bound rebuild verification, POSIX and PowerShell launchers, and tests for tampering and unsupported claims.</w:t>
      </w:r>
    </w:p>
    <w:p>
      <w:pPr>
        <w:pStyle w:val="Heading1"/>
      </w:pPr>
      <w:r>
        <w:t>How it differs from earlier work</w:t>
      </w:r>
    </w:p>
    <w:p>
      <w:r>
        <w:t>MS #48 pinned and inventoried iDempiere, MS #52 projected the estate, and MS #33 established the database semantic core. MS #68 reuses those assets to audit paired dialect outputs. MS #69 will compare semantics and MS #70 will triage findings and assemble evidence. CloudBank production-readiness work remains unnumbered and is not repeated here.</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idempiere dialect inventory and pairing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Stage 1 proves file-level pairing coverage and pilot selection for one exact public-source commit; it does not prove parser coverage or semantic equivalence.</w:t>
      </w:r>
    </w:p>
    <w:p>
      <w:pPr>
        <w:pStyle w:val="ListBullet"/>
      </w:pPr>
      <w:r>
        <w:t>Independent hand maintenance is unproven because iDempiere includes a converter and a dual-dialect migration logger. Per-pair provenance remains unclassified.</w:t>
      </w:r>
    </w:p>
    <w:p>
      <w:pPr>
        <w:pStyle w:val="ListBullet"/>
      </w:pPr>
      <w:r>
        <w:t>The pilot selector is lexical and does not yet distinguish executable references from comments.</w:t>
      </w:r>
    </w:p>
    <w:p>
      <w:pPr>
        <w:pStyle w:val="ListBullet"/>
      </w:pPr>
      <w:r>
        <w:t>No model was called and Builder remained unused. Deterministic comparison and bounded triage remain planned work.</w:t>
      </w:r>
    </w:p>
    <w:p>
      <w:pPr>
        <w:pStyle w:val="ListBullet"/>
      </w:pPr>
      <w:r>
        <w:t>No native database execution, whole-application equivalence, migration completion, customer readiness or production readiness is claimed.</w:t>
      </w:r>
    </w:p>
    <w:p>
      <w:pPr>
        <w:pStyle w:val="Heading1"/>
      </w:pPr>
      <w:r>
        <w:t>Source of record</w:t>
      </w:r>
    </w:p>
    <w:p>
      <w:pPr>
        <w:pStyle w:val="ListBullet"/>
      </w:pPr>
      <w:r>
        <w:t>CHANGELOG.md release section(s): 0.68.0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#68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#68 - iDempiere Dialect Inventory and Pairing</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