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Arial" w:hAnsi="Arial"/>
          <w:b/>
          <w:color w:val="A7702C"/>
          <w:sz w:val="18"/>
        </w:rPr>
        <w:t>CUSTOMER MILESTONE BRIEF</w:t>
      </w:r>
    </w:p>
    <w:p>
      <w:pPr>
        <w:spacing w:after="160"/>
      </w:pPr>
      <w:r>
        <w:rPr>
          <w:rFonts w:ascii="Arial" w:hAnsi="Arial"/>
          <w:b/>
          <w:color w:val="15184D"/>
          <w:sz w:val="56"/>
        </w:rPr>
        <w:t>MS #29 - Governed Source-Only Pilot Intake</w:t>
      </w:r>
    </w:p>
    <w:p>
      <w:pPr>
        <w:spacing w:after="360"/>
      </w:pPr>
      <w:r>
        <w:rPr>
          <w:rFonts w:ascii="Arial" w:hAnsi="Arial"/>
          <w:color w:val="676985"/>
          <w:sz w:val="27"/>
        </w:rPr>
        <w:t>Purpose, customer value, delivered capability, evidence, and claim boundaries</w:t>
      </w:r>
    </w:p>
    <w:tbl>
      <w:tblPr>
        <w:tblStyle w:val="TableGrid"/>
        <w:tblLook w:firstColumn="1" w:firstRow="1" w:lastColumn="0" w:lastRow="0" w:noHBand="0" w:noVBand="1" w:val="04A0"/>
        <w:tblW w:w="9360" w:type="dxa"/>
        <w:tblInd w:w="120" w:type="dxa"/>
        <w:tblLayout w:type="fixed"/>
      </w:tblPr>
      <w:tblGrid>
        <w:gridCol w:w="2700"/>
        <w:gridCol w:w="6660"/>
      </w:tblGrid>
      <w:tr>
        <w:tc>
          <w:tcPr>
            <w:tcW w:type="dxa" w:w="2700"/>
            <w:tcMar>
              <w:top w:w="80" w:type="dxa"/>
              <w:bottom w:w="80" w:type="dxa"/>
              <w:start w:w="120" w:type="dxa"/>
              <w:end w:w="120" w:type="dxa"/>
            </w:tcMar>
            <w:vAlign w:val="center"/>
            <w:shd w:fill="EFEBFB"/>
          </w:tcPr>
          <w:p>
            <w:r>
              <w:rPr>
                <w:rFonts w:ascii="Arial" w:hAnsi="Arial"/>
                <w:b/>
                <w:color w:val="15184D"/>
              </w:rPr>
              <w:t>Status</w:t>
            </w:r>
          </w:p>
        </w:tc>
        <w:tc>
          <w:tcPr>
            <w:tcW w:type="dxa" w:w="6660"/>
            <w:tcMar>
              <w:top w:w="80" w:type="dxa"/>
              <w:bottom w:w="80" w:type="dxa"/>
              <w:start w:w="120" w:type="dxa"/>
              <w:end w:w="120" w:type="dxa"/>
            </w:tcMar>
            <w:vAlign w:val="center"/>
          </w:tcPr>
          <w:p>
            <w:r>
              <w:rPr>
                <w:rFonts w:ascii="Arial" w:hAnsi="Arial"/>
              </w:rPr>
              <w:t>Complete</w:t>
            </w:r>
          </w:p>
        </w:tc>
      </w:tr>
      <w:tr>
        <w:tc>
          <w:tcPr>
            <w:tcW w:type="dxa" w:w="2700"/>
            <w:tcMar>
              <w:top w:w="80" w:type="dxa"/>
              <w:bottom w:w="80" w:type="dxa"/>
              <w:start w:w="120" w:type="dxa"/>
              <w:end w:w="120" w:type="dxa"/>
            </w:tcMar>
            <w:vAlign w:val="center"/>
            <w:shd w:fill="EFEBFB"/>
          </w:tcPr>
          <w:p>
            <w:r>
              <w:rPr>
                <w:rFonts w:ascii="Arial" w:hAnsi="Arial"/>
                <w:b/>
                <w:color w:val="15184D"/>
              </w:rPr>
              <w:t>Release</w:t>
            </w:r>
          </w:p>
        </w:tc>
        <w:tc>
          <w:tcPr>
            <w:tcW w:type="dxa" w:w="6660"/>
            <w:tcMar>
              <w:top w:w="80" w:type="dxa"/>
              <w:bottom w:w="80" w:type="dxa"/>
              <w:start w:w="120" w:type="dxa"/>
              <w:end w:w="120" w:type="dxa"/>
            </w:tcMar>
            <w:vAlign w:val="center"/>
          </w:tcPr>
          <w:p>
            <w:r>
              <w:rPr>
                <w:rFonts w:ascii="Arial" w:hAnsi="Arial"/>
              </w:rPr>
              <w:t>0.29.0</w:t>
            </w:r>
          </w:p>
        </w:tc>
      </w:tr>
      <w:tr>
        <w:tc>
          <w:tcPr>
            <w:tcW w:type="dxa" w:w="2700"/>
            <w:tcMar>
              <w:top w:w="80" w:type="dxa"/>
              <w:bottom w:w="80" w:type="dxa"/>
              <w:start w:w="120" w:type="dxa"/>
              <w:end w:w="120" w:type="dxa"/>
            </w:tcMar>
            <w:vAlign w:val="center"/>
            <w:shd w:fill="EFEBFB"/>
          </w:tcPr>
          <w:p>
            <w:r>
              <w:rPr>
                <w:rFonts w:ascii="Arial" w:hAnsi="Arial"/>
                <w:b/>
                <w:color w:val="15184D"/>
              </w:rPr>
              <w:t>Date</w:t>
            </w:r>
          </w:p>
        </w:tc>
        <w:tc>
          <w:tcPr>
            <w:tcW w:type="dxa" w:w="6660"/>
            <w:tcMar>
              <w:top w:w="80" w:type="dxa"/>
              <w:bottom w:w="80" w:type="dxa"/>
              <w:start w:w="120" w:type="dxa"/>
              <w:end w:w="120" w:type="dxa"/>
            </w:tcMar>
            <w:vAlign w:val="center"/>
          </w:tcPr>
          <w:p>
            <w:r>
              <w:rPr>
                <w:rFonts w:ascii="Arial" w:hAnsi="Arial"/>
              </w:rPr>
              <w:t>2026-08-29</w:t>
            </w:r>
          </w:p>
        </w:tc>
      </w:tr>
      <w:tr>
        <w:tc>
          <w:tcPr>
            <w:tcW w:type="dxa" w:w="2700"/>
            <w:tcMar>
              <w:top w:w="80" w:type="dxa"/>
              <w:bottom w:w="80" w:type="dxa"/>
              <w:start w:w="120" w:type="dxa"/>
              <w:end w:w="120" w:type="dxa"/>
            </w:tcMar>
            <w:vAlign w:val="center"/>
            <w:shd w:fill="EFEBFB"/>
          </w:tcPr>
          <w:p>
            <w:r>
              <w:rPr>
                <w:rFonts w:ascii="Arial" w:hAnsi="Arial"/>
                <w:b/>
                <w:color w:val="15184D"/>
              </w:rPr>
              <w:t>Audience</w:t>
            </w:r>
          </w:p>
        </w:tc>
        <w:tc>
          <w:tcPr>
            <w:tcW w:type="dxa" w:w="6660"/>
            <w:tcMar>
              <w:top w:w="80" w:type="dxa"/>
              <w:bottom w:w="80" w:type="dxa"/>
              <w:start w:w="120" w:type="dxa"/>
              <w:end w:w="120" w:type="dxa"/>
            </w:tcMar>
            <w:vAlign w:val="center"/>
          </w:tcPr>
          <w:p>
            <w:r>
              <w:rPr>
                <w:rFonts w:ascii="Arial" w:hAnsi="Arial"/>
              </w:rPr>
              <w:t>Customers, partners, executives, architects, delivery teams, and assurance reviewers</w:t>
            </w:r>
          </w:p>
        </w:tc>
      </w:tr>
    </w:tbl>
    <w:p>
      <w:pPr>
        <w:pStyle w:val="Heading1"/>
      </w:pPr>
      <w:r>
        <w:t>Executive summary</w:t>
      </w:r>
    </w:p>
    <w:p>
      <w:r>
        <w:t>MS #29 - Governed Source-Only Pilot Intake converts a specific part of the LIGHTYEAR modernization approach into a governed, reviewable capability. Creates a no-network, source-only path for approving and describing a customer pilot before analysis begins.</w:t>
      </w:r>
    </w:p>
    <w:p>
      <w:pPr>
        <w:pStyle w:val="Heading1"/>
      </w:pPr>
      <w:r>
        <w:t>Why this matters to a customer</w:t>
      </w:r>
    </w:p>
    <w:p>
      <w:r>
        <w:t>Creates a no-network, source-only path for approving and describing a customer pilot before analysis begins.</w:t>
      </w:r>
    </w:p>
    <w:p>
      <w:r>
        <w:t>The practical result is a narrower, evidence-backed decision instead of a broad modernization claim. Commercial, architecture, delivery, security, and assurance teams can review the same capability, proof, and limits.</w:t>
      </w:r>
    </w:p>
    <w:p>
      <w:pPr>
        <w:pStyle w:val="Heading1"/>
      </w:pPr>
      <w:r>
        <w:t>What the milestone delivers</w:t>
      </w:r>
    </w:p>
    <w:p>
      <w:pPr>
        <w:pStyle w:val="ListBullet"/>
      </w:pPr>
      <w:r>
        <w:t>Added one supported no-network Python 3.11+ source-tree launch and release path for a governed source-only pilot, without requiring a package build backend or third-party runtime dependency.</w:t>
      </w:r>
    </w:p>
    <w:p>
      <w:pPr>
        <w:pStyle w:val="ListBullet"/>
      </w:pPr>
      <w:r>
        <w:t>Added a bounded, credential-safe intake for approved COBOL, copybooks, PL/I, JCL, Db2 DDL, and configuration exports with deterministic raw and logical source identities.</w:t>
      </w:r>
    </w:p>
    <w:p>
      <w:pPr>
        <w:pStyle w:val="ListBullet"/>
      </w:pPr>
      <w:r>
        <w:t>Rejected symlinks, hidden paths, unsupported files, binary content, unsafe sizes, path drift, and credential-shaped material before evidence assembly.</w:t>
      </w:r>
    </w:p>
    <w:p>
      <w:pPr>
        <w:pStyle w:val="ListBullet"/>
      </w:pPr>
      <w:r>
        <w:t>Added a gates 6-8 preflight covering global authorization, identity, TLS, signing, test-data, retention, execution, rollback, recovery, and technology-specific live-evidence prerequisites.</w:t>
      </w:r>
    </w:p>
    <w:p>
      <w:pPr>
        <w:pStyle w:val="ListBullet"/>
      </w:pPr>
      <w:r>
        <w:t>Added a content-addressed JSON and Markdown pilot dossier binding 16 runtime, graph, capability, language, build, qualification, data, migration, appliance, readiness, and audit artifacts by raw SHA-256.</w:t>
      </w:r>
    </w:p>
    <w:p>
      <w:pPr>
        <w:pStyle w:val="ListBullet"/>
      </w:pPr>
      <w:r>
        <w:t>Added beginner, senior-engineer, security/operations, and auditor guides plus POSIX and PowerShell operator entry points.</w:t>
      </w:r>
    </w:p>
    <w:p>
      <w:pPr>
        <w:pStyle w:val="ListBullet"/>
      </w:pPr>
      <w:r>
        <w:t>Froze v1 intake, preflight, and dossier schemas for the 0.29.x pilot line and added fail-closed upgrade, tamper, unsupported-input, secret, artifact-drift, and overclaim tests.</w:t>
      </w:r>
    </w:p>
    <w:p>
      <w:pPr>
        <w:pStyle w:val="ListBullet"/>
      </w:pPr>
      <w:r>
        <w:t>Added a clean-environment rehearsal that reproduces the six-class reference intake and complete dossier byte-for-byte.</w:t>
      </w:r>
    </w:p>
    <w:p>
      <w:pPr>
        <w:pStyle w:val="ListBullet"/>
      </w:pPr>
      <w:r>
        <w:t>Kept model qualification, authorized original-system execution, signed live equivalence, mainframe equivalence, and production readiness explicitly false or blocked.</w:t>
      </w:r>
    </w:p>
    <w:p>
      <w:pPr>
        <w:pStyle w:val="Heading1"/>
      </w:pPr>
      <w:r>
        <w:t>How it differs from earlier work</w:t>
      </w:r>
    </w:p>
    <w:p>
      <w:r>
        <w:t>MS #29 builds on MS #28 (Enterprise Collection Appliance). The earlier milestone established its own bounded capability; this milestone adds governed source-only pilot intake while preserving the earlier evidence and its limits.</w:t>
      </w:r>
    </w:p>
    <w:p>
      <w:r>
        <w:t>Earlier evidence is not automatically promoted into this milestone. A parser, simulator, local comparison, or generated artifact is not live platform equivalence or production readiness.</w:t>
      </w:r>
    </w:p>
    <w:p>
      <w:pPr>
        <w:pStyle w:val="Heading1"/>
      </w:pPr>
      <w:r>
        <w:t>What a customer can do with it</w:t>
      </w:r>
    </w:p>
    <w:p>
      <w:r>
        <w:t>A customer can use governed source-only pilot intake as a bounded decision and delivery capability, attached to approved sources, owners, policies, target architecture, acceptance criteria, and authorized evidence.</w:t>
      </w:r>
    </w:p>
    <w:p>
      <w:r>
        <w:t>Unresolved semantic loss, policy decisions, unsupported behavior, and live-evidence requirements remain visible.</w:t>
      </w:r>
    </w:p>
    <w:p>
      <w:pPr>
        <w:pStyle w:val="Heading1"/>
      </w:pPr>
      <w:r>
        <w:t>Evidence and acceptance posture</w:t>
      </w:r>
    </w:p>
    <w:p>
      <w:r>
        <w:t>The repository capability is complete because its committed implementation and release record are present. Customer qualification remains claim-specific and evidence-class-specific.</w:t>
      </w:r>
    </w:p>
    <w:p>
      <w:r>
        <w:t>Review exact source and artifact identities, distinguish development from authorized live evidence, inspect policy and loss classifications, confirm passed and blocked gates, and verify that later changes have not invalidated the evidence.</w:t>
      </w:r>
    </w:p>
    <w:p>
      <w:pPr>
        <w:pStyle w:val="Heading1"/>
      </w:pPr>
      <w:r>
        <w:t>Boundaries and claims not made</w:t>
      </w:r>
    </w:p>
    <w:p>
      <w:pPr>
        <w:pStyle w:val="ListBullet"/>
      </w:pPr>
      <w:r>
        <w:t>This milestone establishes only the bounded capabilities and evidence listed here; later capabilities are not retroactive.</w:t>
      </w:r>
    </w:p>
    <w:p>
      <w:pPr>
        <w:pStyle w:val="ListBullet"/>
      </w:pPr>
      <w:r>
        <w:t>Production readiness and platform equivalence require the explicit evidence and policy gates applicable to the customer environment.</w:t>
      </w:r>
    </w:p>
    <w:p>
      <w:pPr>
        <w:pStyle w:val="Heading1"/>
      </w:pPr>
      <w:r>
        <w:t>Source of record</w:t>
      </w:r>
    </w:p>
    <w:p>
      <w:pPr>
        <w:pStyle w:val="ListBullet"/>
      </w:pPr>
      <w:r>
        <w:t>CHANGELOG.md release section(s): 0.29.0</w:t>
      </w:r>
    </w:p>
    <w:p>
      <w:pPr>
        <w:pStyle w:val="ListBullet"/>
      </w:pPr>
      <w:r>
        <w:t>README.md product and operating guidance</w:t>
      </w:r>
    </w:p>
    <w:p>
      <w:pPr>
        <w:pStyle w:val="ListBullet"/>
      </w:pPr>
      <w:r>
        <w:t>LIGHTYEAR-ROADMAP.md governing sequence and claim classifications</w:t>
      </w:r>
    </w:p>
    <w:p>
      <w:pPr>
        <w:pStyle w:val="ListBullet"/>
      </w:pPr>
      <w:r>
        <w:t>docs/milestones/catalog.json metadata and docs/milestones/manifest.json artifact integrity</w:t>
      </w:r>
    </w:p>
    <w:sectPr w:rsidR="00FC693F" w:rsidRPr="0006063C" w:rsidSect="00034616">
      <w:headerReference w:type="default" r:id="rId9"/>
      <w:footerReference w:type="default" r:id="rId10"/>
      <w:pgSz w:w="12240" w:h="15840"/>
      <w:pgMar w:top="1267" w:right="1440" w:bottom="1440" w:left="1440" w:header="403"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Look w:firstColumn="1" w:firstRow="1" w:lastColumn="0" w:lastRow="0" w:noHBand="0" w:noVBand="1" w:val="04A0"/>
      <w:tblW w:w="9360" w:type="dxa"/>
      <w:tblInd w:w="0" w:type="dxa"/>
      <w:tblLayout w:type="fixed"/>
    </w:tblPr>
    <w:tblGrid>
      <w:gridCol w:w="6000"/>
      <w:gridCol w:w="3360"/>
    </w:tblGrid>
    <w:tr>
      <w:tc>
        <w:tcPr>
          <w:tcW w:type="dxa" w:w="6000"/>
          <w:tcMar>
            <w:top w:w="80" w:type="dxa"/>
            <w:bottom w:w="80" w:type="dxa"/>
            <w:start w:w="120" w:type="dxa"/>
            <w:end w:w="120" w:type="dxa"/>
          </w:tcMar>
          <w:vAlign w:val="center"/>
        </w:tcPr>
        <w:p>
          <w:pPr>
            <w:spacing w:after="0"/>
            <w:jc w:val="left"/>
          </w:pPr>
          <w:r>
            <w:rPr>
              <w:rFonts w:ascii="Arial" w:hAnsi="Arial"/>
              <w:color w:val="676985"/>
              <w:sz w:val="15"/>
            </w:rPr>
            <w:t>Underlying evidence remains authoritative.</w:t>
          </w:r>
        </w:p>
      </w:tc>
      <w:tc>
        <w:tcPr>
          <w:tcW w:type="dxa" w:w="3360"/>
          <w:tcMar>
            <w:top w:w="80" w:type="dxa"/>
            <w:bottom w:w="80" w:type="dxa"/>
            <w:start w:w="120" w:type="dxa"/>
            <w:end w:w="120" w:type="dxa"/>
          </w:tcMar>
          <w:vAlign w:val="center"/>
        </w:tcPr>
        <w:p>
          <w:pPr>
            <w:spacing w:after="0"/>
            <w:jc w:val="right"/>
          </w:pPr>
          <w:r>
            <w:rPr>
              <w:rFonts w:ascii="Arial" w:hAnsi="Arial"/>
              <w:color w:val="676985"/>
              <w:sz w:val="17"/>
            </w:rPr>
            <w:t xml:space="preserve">MS #29  |  Page </w:t>
          </w:r>
          <w:r>
            <w:fldChar w:fldCharType="begin"/>
            <w:instrText> PAGE </w:instrText>
            <w:fldChar w:fldCharType="separate"/>
            <w:t>1</w: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3" w:color="A7702C"/>
      </w:pBdr>
    </w:pPr>
    <w:r>
      <w:drawing>
        <wp:inline xmlns:a="http://schemas.openxmlformats.org/drawingml/2006/main" xmlns:pic="http://schemas.openxmlformats.org/drawingml/2006/picture">
          <wp:extent cx="960120" cy="586313"/>
          <wp:docPr id="1" name="Picture 1"/>
          <wp:cNvGraphicFramePr>
            <a:graphicFrameLocks noChangeAspect="1"/>
          </wp:cNvGraphicFramePr>
          <a:graphic>
            <a:graphicData uri="http://schemas.openxmlformats.org/drawingml/2006/picture">
              <pic:pic>
                <pic:nvPicPr>
                  <pic:cNvPr id="0" name="lightyear-primary.png"/>
                  <pic:cNvPicPr/>
                </pic:nvPicPr>
                <pic:blipFill>
                  <a:blip r:embed="rId1"/>
                  <a:stretch>
                    <a:fillRect/>
                  </a:stretch>
                </pic:blipFill>
                <pic:spPr>
                  <a:xfrm>
                    <a:off x="0" y="0"/>
                    <a:ext cx="960120" cy="586313"/>
                  </a:xfrm>
                  <a:prstGeom prst="rect"/>
                </pic:spPr>
              </pic:pic>
            </a:graphicData>
          </a:graphic>
        </wp:inline>
      </w:drawing>
    </w:r>
    <w:r>
      <w:rPr>
        <w:rFonts w:ascii="Arial" w:hAnsi="Arial"/>
        <w:b/>
        <w:color w:val="676985"/>
        <w:sz w:val="16"/>
      </w:rPr>
      <w:t xml:space="preserve">   MILESTONE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15184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rial" w:hAnsi="Arial"/>
      <w:b/>
      <w:bCs/>
      <w:color w:val="7D57EA"/>
      <w:sz w:val="31"/>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b/>
      <w:bCs/>
      <w:color w:val="7D57EA"/>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5184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64" w:lineRule="auto"/>
      <w:ind w:left="720" w:hanging="36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line="264" w:lineRule="auto"/>
      <w:ind w:left="720" w:hanging="36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 #29 - Governed Source-Only Pilot Intake</dc:title>
  <dc:subject>LIGHTYEAR customer milestone documentation</dc:subject>
  <dc:creator>LIGHTYEAR</dc:creator>
  <cp:keywords/>
  <dc:description>generated by python-docx</dc:description>
  <cp:lastModifiedBy/>
  <cp:revision>1</cp:revision>
  <dcterms:created xsi:type="dcterms:W3CDTF">2026-08-31T12:00:00Z</dcterms:created>
  <dcterms:modified xsi:type="dcterms:W3CDTF">2026-08-31T12:00:00Z</dcterms:modified>
  <cp:category/>
</cp:coreProperties>
</file>