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#33 - Database Semantic Core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0.33.0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2026-08-30</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#33 - Database Semantic Core converts a specific part of the LIGHTYEAR modernization approach into a governed, reviewable capability. Creates the platform-neutral semantic contract needed to compare database behavior instead of merely generating target DDL.</w:t>
      </w:r>
    </w:p>
    <w:p>
      <w:pPr>
        <w:pStyle w:val="Heading1"/>
      </w:pPr>
      <w:r>
        <w:t>Why this matters to a customer</w:t>
      </w:r>
    </w:p>
    <w:p>
      <w:r>
        <w:t>Creates the platform-neutral semantic contract needed to compare database behavior instead of merely generating target DDL.</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independent source- and target-adapter interfaces plus a 17-kind canonical database type system with explicit numeric, null, time-zone, and truncation rules.</w:t>
      </w:r>
    </w:p>
    <w:p>
      <w:pPr>
        <w:pStyle w:val="ListBullet"/>
      </w:pPr>
      <w:r>
        <w:t>Added deterministic data-profile and schema-transformation contracts, typed normalized rows, query/result comparison, transaction comparison, a content-bound CDC envelope, and fail-closed cutover and rollback contracts.</w:t>
      </w:r>
    </w:p>
    <w:p>
      <w:pPr>
        <w:pStyle w:val="ListBullet"/>
      </w:pPr>
      <w:r>
        <w:t>Added a content-addressed AUTHFRDS compatibility ledger covering every column for PostgreSQL and Oracle plus transaction isolation, DDL CDC, sequence state, and stored logic.</w:t>
      </w:r>
    </w:p>
    <w:p>
      <w:pPr>
        <w:pStyle w:val="ListBullet"/>
      </w:pPr>
      <w:r>
        <w:t>Required exactly one of exact, normalized-equivalent, policy-decision-required, lossy, or unsupported for every ledger entry; unresolved policy or loss blocks equivalence and unsupported behavior is excluded from the claim scope.</w:t>
      </w:r>
    </w:p>
    <w:p>
      <w:pPr>
        <w:pStyle w:val="ListBullet"/>
      </w:pPr>
      <w:r>
        <w:t>Added a deterministic adapter conformance suite and committed receipt for the existing PostgreSQL and Oracle adapters, with explicit non-promotion and non-production boundaries.</w:t>
      </w:r>
    </w:p>
    <w:p>
      <w:pPr>
        <w:pStyle w:val="ListBullet"/>
      </w:pPr>
      <w:r>
        <w:t>Added frozen JSON schemas and tamper tests for semantic contracts, normalized rows, CDC events, compatibility coverage, policy decisions, query/transaction behavior, and cutover/rollback gates.</w:t>
      </w:r>
    </w:p>
    <w:p>
      <w:pPr>
        <w:pStyle w:val="Heading1"/>
      </w:pPr>
      <w:r>
        <w:t>How it differs from earlier work</w:t>
      </w:r>
    </w:p>
    <w:p>
      <w:r>
        <w:t>MS #33 builds on MS #32 (Governed Pilot Work Package). The earlier milestone established its own bounded capability; this milestone adds database semantic core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database semantic core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Required exactly one of exact, normalized-equivalent, policy-decision-required, lossy, or unsupported for every ledger entry; unresolved policy or loss blocks equivalence and unsupported behavior is excluded from the claim scope.</w:t>
      </w:r>
    </w:p>
    <w:p>
      <w:pPr>
        <w:pStyle w:val="ListBullet"/>
      </w:pPr>
      <w:r>
        <w:t>Added a deterministic adapter conformance suite and committed receipt for the existing PostgreSQL and Oracle adapters, with explicit non-promotion and non-production boundaries.</w:t>
      </w:r>
    </w:p>
    <w:p>
      <w:pPr>
        <w:pStyle w:val="Heading1"/>
      </w:pPr>
      <w:r>
        <w:t>Source of record</w:t>
      </w:r>
    </w:p>
    <w:p>
      <w:pPr>
        <w:pStyle w:val="ListBullet"/>
      </w:pPr>
      <w:r>
        <w:t>CHANGELOG.md release section(s): 0.33.0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#33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#33 - Database Semantic Core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