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#35 - DB2 Semantic Adapter Hardening</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0.35.0, 0.35.1</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2026-08-30 to 2026-08-30</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Executive summary</w:t>
      </w:r>
    </w:p>
    <w:p>
      <w:r>
        <w:t>MS #35 - DB2 Semantic Adapter Hardening converts a specific part of the LIGHTYEAR modernization approach into a governed, reviewable capability. Brings DB2 for z/OS into the same semantic adapter contract and retains stored-logic work as bounded supporting evidence.</w:t>
      </w:r>
    </w:p>
    <w:p>
      <w:pPr>
        <w:pStyle w:val="Heading1"/>
      </w:pPr>
      <w:r>
        <w:t>Why this matters to a customer</w:t>
      </w:r>
    </w:p>
    <w:p>
      <w:r>
        <w:t>Brings DB2 for z/OS into the same semantic adapter contract and retains stored-logic work as bounded supporting evidence.</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Added an independent Oracle-to-PostgreSQL stored-logic qualification core covering procedures, functions, packages, triggers, views, materialized views, and application SQL.</w:t>
      </w:r>
    </w:p>
    <w:p>
      <w:pPr>
        <w:pStyle w:val="ListBullet"/>
      </w:pPr>
      <w:r>
        <w:t>Added seven fail-closed gates for inventory completeness, dependency closure, translation, results/side effects, transactions/exceptions, security context, and performance/operability.</w:t>
      </w:r>
    </w:p>
    <w:p>
      <w:pPr>
        <w:pStyle w:val="ListBullet"/>
      </w:pPr>
      <w:r>
        <w:t>Inventoried the two bounded AUTHFRDS data-changing application SQL statements and classified both as policy-decision-required pending Oracle and PostgreSQL execution evidence.</w:t>
      </w:r>
    </w:p>
    <w:p>
      <w:pPr>
        <w:pStyle w:val="ListBullet"/>
      </w:pPr>
      <w:r>
        <w:t>Prevented an empty source-only Oracle object inventory from being treated as proof that no stored logic exists; live catalog, deployment DDL, scheduler, grant, and application-source capture remain mandatory.</w:t>
      </w:r>
    </w:p>
    <w:p>
      <w:pPr>
        <w:pStyle w:val="ListBullet"/>
      </w:pPr>
      <w:r>
        <w:t>Bound the MS #34 stored-logic gate to the new content-addressed qualification artifact while keeping inventory, stored-logic completion, database completion, and production readiness false.</w:t>
      </w:r>
    </w:p>
    <w:p>
      <w:pPr>
        <w:pStyle w:val="ListBullet"/>
      </w:pPr>
      <w:r>
        <w:t>Added a concrete Db2 for z/OS SourceAdapter implementing schema discovery, bounded profiling, contract-bound row extraction, content-bound CDC resume, and transaction-capability projection.</w:t>
      </w:r>
    </w:p>
    <w:p>
      <w:pPr>
        <w:pStyle w:val="ListBullet"/>
      </w:pPr>
      <w:r>
        <w:t>Added a DB2 source compatibility ledger covering all 26 AUTHFRDS columns plus encoding, padding, null/empty-string behavior, isolation, CDC position, DDL CDC, and package/bind semantics.</w:t>
      </w:r>
    </w:p>
    <w:p>
      <w:pPr>
        <w:pStyle w:val="ListBullet"/>
      </w:pPr>
      <w:r>
        <w:t>Required every DB2 entry to use exactly one governing classification: exact, normalized-equivalent, policy-decision-required, lossy, or unsupported.</w:t>
      </w:r>
    </w:p>
    <w:p>
      <w:pPr>
        <w:pStyle w:val="ListBullet"/>
      </w:pPr>
      <w:r>
        <w:t>Added deterministic source-adapter discovery, profile, ledger, and conformance artifacts with source-only/synthetic evidence labels and explicit false live-catalog, CDC, mainframe-equivalence, and production-readiness claims.</w:t>
      </w:r>
    </w:p>
    <w:p>
      <w:pPr>
        <w:pStyle w:val="ListBullet"/>
      </w:pPr>
      <w:r>
        <w:t>Recorded the corrected MS #33-#41 roadmap and retained v0.35.0 stored-logic work as supporting MS #34 evidence rather than treating it as fulfillment of DB2 hardening.</w:t>
      </w:r>
    </w:p>
    <w:p>
      <w:pPr>
        <w:pStyle w:val="Heading1"/>
      </w:pPr>
      <w:r>
        <w:t>How it differs from earlier work</w:t>
      </w:r>
    </w:p>
    <w:p>
      <w:r>
        <w:t>MS #35 builds on MS #34 (Oracle-to-PostgreSQL Progressive Proof). The earlier milestone established its own bounded capability; this milestone adds db2 semantic adapter hardening while preserving the earlier evidence and its limits.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db2 semantic adapter hardening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This milestone establishes only the bounded capabilities and evidence listed here; later capabilities are not retroactive.</w:t>
      </w:r>
    </w:p>
    <w:p>
      <w:pPr>
        <w:pStyle w:val="ListBullet"/>
      </w:pPr>
      <w:r>
        <w:t>Production readiness and platform equivalence require the explicit evidence and policy gates applicable to the customer environment.</w:t>
      </w:r>
    </w:p>
    <w:p>
      <w:pPr>
        <w:pStyle w:val="Heading1"/>
      </w:pPr>
      <w:r>
        <w:t>Source of record</w:t>
      </w:r>
    </w:p>
    <w:p>
      <w:pPr>
        <w:pStyle w:val="ListBullet"/>
      </w:pPr>
      <w:r>
        <w:t>CHANGELOG.md release section(s): 0.35.0, 0.35.1</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Look w:firstColumn="1" w:firstRow="1" w:lastColumn="0" w:lastRow="0" w:noHBand="0" w:noVBand="1" w:val="04A0"/>
      <w:tblW w:w="9360" w:type="dxa"/>
      <w:tblInd w:w="0" w:type="dxa"/>
      <w:tblLayout w:type="fixed"/>
    </w:tblPr>
    <w:tblGrid>
      <w:gridCol w:w="6000"/>
      <w:gridCol w:w="3360"/>
    </w:tblGrid>
    <w:tr>
      <w:tc>
        <w:tcPr>
          <w:tcW w:type="dxa" w:w="6000"/>
          <w:tcMar>
            <w:top w:w="80" w:type="dxa"/>
            <w:bottom w:w="80" w:type="dxa"/>
            <w:start w:w="120" w:type="dxa"/>
            <w:end w:w="120" w:type="dxa"/>
          </w:tcMar>
          <w:vAlign w:val="center"/>
        </w:tcPr>
        <w:p>
          <w:pPr>
            <w:spacing w:after="0"/>
            <w:jc w:val="left"/>
          </w:pPr>
          <w:r>
            <w:rPr>
              <w:rFonts w:ascii="Arial" w:hAnsi="Arial"/>
              <w:color w:val="676985"/>
              <w:sz w:val="15"/>
            </w:rPr>
            <w:t>Underlying evidence remains authoritative.</w:t>
          </w:r>
        </w:p>
      </w:tc>
      <w:tc>
        <w:tcPr>
          <w:tcW w:type="dxa" w:w="3360"/>
          <w:tcMar>
            <w:top w:w="80" w:type="dxa"/>
            <w:bottom w:w="80" w:type="dxa"/>
            <w:start w:w="120" w:type="dxa"/>
            <w:end w:w="120" w:type="dxa"/>
          </w:tcMar>
          <w:vAlign w:val="center"/>
        </w:tcPr>
        <w:p>
          <w:pPr>
            <w:spacing w:after="0"/>
            <w:jc w:val="right"/>
          </w:pPr>
          <w:r>
            <w:rPr>
              <w:rFonts w:ascii="Arial" w:hAnsi="Arial"/>
              <w:color w:val="676985"/>
              <w:sz w:val="17"/>
            </w:rPr>
            <w:t xml:space="preserve">MS #35  |  Page </w:t>
          </w:r>
          <w:r>
            <w:fldChar w:fldCharType="begin"/>
            <w:instrText>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313"/>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313"/>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#35 - DB2 Semantic Adapter Hardening</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