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MS72 Operator Guide</w:t>
      </w:r>
    </w:p>
    <w:p>
      <w:pPr>
        <w:pStyle w:val="Subtitle"/>
      </w:pPr>
      <w:r>
        <w:t>Purpose capabilities and everyday use</w:t>
      </w:r>
    </w:p>
    <w:p>
      <w:r>
        <w:t>MS72 gives LIGHTYEAR a working process for turning modernization findings into assigned work and carrying out a defined set of evidence checks. Engineers can see what needs investigation, operators can follow progress, and business acceptance remains with an identified human. This guide covers the Step 1 planner and the expanded Step 2 CloudBank executor supporting all six autonomous action kinds.</w:t>
      </w:r>
    </w:p>
    <w:p>
      <w:pPr>
        <w:pStyle w:val="Heading1"/>
      </w:pPr>
      <w:r>
        <w:t>Why MS72 is necessary</w:t>
      </w:r>
    </w:p>
    <w:p>
      <w:r>
        <w:t>A comparison report can identify a difference or an unanswered question without explaining what should happen next. Teams need to know whether the issue belongs to parser engineering, a missing test, unavailable evidence or a business decision. They also need work to survive interruptions and a record of how each result was reached.</w:t>
      </w:r>
    </w:p>
    <w:p>
      <w:r>
        <w:t>MS72 supplies that operating discipline. It preserves the original finding, assigns the next kind of work and separates evidence gathering from approval. This supports repeatable investigation and gives reviewers a traceable basis for deciding what can proceed.</w:t>
      </w:r>
    </w:p>
    <w:p>
      <w:pPr>
        <w:pStyle w:val="Heading1"/>
      </w:pPr>
      <w:r>
        <w:t>What MS72 delivers</w:t>
      </w:r>
    </w:p>
    <w:p>
      <w:r>
        <w:rPr>
          <w:b/>
        </w:rPr>
        <w:t xml:space="preserve">Step 1 creates actionable work. </w:t>
      </w:r>
      <w:r>
        <w:t>The planner turns comparison evidence into an inspectable work plan. Actions retain their sources, verdicts and receipts and identify accountable roles. Missing owners remain visible. Parser limitations become engineering work; acceptable business behavior remains a human decision. Step 1 publishes the plan without executing it.</w:t>
      </w:r>
    </w:p>
    <w:p>
      <w:r>
        <w:rPr>
          <w:b/>
        </w:rPr>
        <w:t xml:space="preserve">Step 2 supports six action kinds. </w:t>
      </w:r>
      <w:r>
        <w:t>The CloudBank executor widens observation across eight service contracts and escalates to their retained execution evidence. It reparses 28 published scenarios with a newer evidence grammar, extends the corpus from eight cases to 36, and reruns local checks on the added cases. A sixth action applies an existing ledger entry after exact human approval. Each action writes a distinct receipt; the engine runs independently of the browser.</w:t>
      </w:r>
    </w:p>
    <w:p>
      <w:pPr>
        <w:pStyle w:val="Heading1"/>
      </w:pPr>
      <w:r>
        <w:t>Who does what</w:t>
      </w:r>
    </w:p>
    <w:tbl>
      <w:tblPr>
        <w:tblW w:type="auto" w:w="0"/>
        <w:jc w:val="center"/>
        <w:tblLayout w:type="fixed"/>
        <w:tblLook w:firstColumn="1" w:firstRow="1" w:lastColumn="0" w:lastRow="0" w:noHBand="0" w:noVBand="1" w:val="04A0"/>
      </w:tblPr>
      <w:tblGrid>
        <w:gridCol w:w="1973"/>
        <w:gridCol w:w="3859"/>
        <w:gridCol w:w="4334"/>
      </w:tblGrid>
      <w:tr>
        <w:trPr>
          <w:cantSplit/>
          <w:tblHeader/>
        </w:trPr>
        <w:tc>
          <w:tcPr>
            <w:tcW w:type="dxa" w:w="1973"/>
            <w:vAlign w:val="center"/>
            <w:tcMar>
              <w:top w:w="85" w:type="dxa"/>
              <w:left w:w="85" w:type="dxa"/>
              <w:bottom w:w="85" w:type="dxa"/>
              <w:right w:w="85" w:type="dxa"/>
            </w:tcMar>
            <w:shd w:fill="15184D"/>
            <w:tcBorders>
              <w:top w:val="single" w:sz="4" w:color="D9D9D9"/>
              <w:left w:val="single" w:sz="4" w:color="D9D9D9"/>
              <w:bottom w:val="single" w:sz="4" w:color="D9D9D9"/>
              <w:right w:val="single" w:sz="4" w:color="D9D9D9"/>
            </w:tcBorders>
          </w:tcPr>
          <w:p>
            <w:pPr>
              <w:spacing w:after="0" w:line="250" w:lineRule="auto"/>
            </w:pPr>
            <w:r>
              <w:rPr>
                <w:b/>
                <w:color w:val="FFFFFF"/>
                <w:sz w:val="20"/>
              </w:rPr>
              <w:t>Responsibility</w:t>
            </w:r>
          </w:p>
        </w:tc>
        <w:tc>
          <w:tcPr>
            <w:tcW w:type="dxa" w:w="3859"/>
            <w:vAlign w:val="center"/>
            <w:tcMar>
              <w:top w:w="85" w:type="dxa"/>
              <w:left w:w="85" w:type="dxa"/>
              <w:bottom w:w="85" w:type="dxa"/>
              <w:right w:w="85" w:type="dxa"/>
            </w:tcMar>
            <w:shd w:fill="15184D"/>
            <w:tcBorders>
              <w:top w:val="single" w:sz="4" w:color="D9D9D9"/>
              <w:left w:val="single" w:sz="4" w:color="D9D9D9"/>
              <w:bottom w:val="single" w:sz="4" w:color="D9D9D9"/>
              <w:right w:val="single" w:sz="4" w:color="D9D9D9"/>
            </w:tcBorders>
          </w:tcPr>
          <w:p>
            <w:pPr>
              <w:spacing w:after="0" w:line="250" w:lineRule="auto"/>
            </w:pPr>
            <w:r>
              <w:rPr>
                <w:b/>
                <w:color w:val="FFFFFF"/>
                <w:sz w:val="20"/>
              </w:rPr>
              <w:t>Headless engine</w:t>
            </w:r>
          </w:p>
        </w:tc>
        <w:tc>
          <w:tcPr>
            <w:tcW w:type="dxa" w:w="4334"/>
            <w:vAlign w:val="center"/>
            <w:tcMar>
              <w:top w:w="85" w:type="dxa"/>
              <w:left w:w="85" w:type="dxa"/>
              <w:bottom w:w="85" w:type="dxa"/>
              <w:right w:w="85" w:type="dxa"/>
            </w:tcMar>
            <w:shd w:fill="15184D"/>
            <w:tcBorders>
              <w:top w:val="single" w:sz="4" w:color="D9D9D9"/>
              <w:left w:val="single" w:sz="4" w:color="D9D9D9"/>
              <w:bottom w:val="single" w:sz="4" w:color="D9D9D9"/>
              <w:right w:val="single" w:sz="4" w:color="D9D9D9"/>
            </w:tcBorders>
          </w:tcPr>
          <w:p>
            <w:pPr>
              <w:spacing w:after="0" w:line="250" w:lineRule="auto"/>
            </w:pPr>
            <w:r>
              <w:rPr>
                <w:b/>
                <w:color w:val="FFFFFF"/>
                <w:sz w:val="20"/>
              </w:rPr>
              <w:t>Control Tower</w:t>
            </w:r>
          </w:p>
        </w:tc>
      </w:tr>
      <w:tr>
        <w:trPr>
          <w:cantSplit/>
        </w:trPr>
        <w:tc>
          <w:tcPr>
            <w:tcW w:type="dxa" w:w="1973"/>
            <w:vAlign w:val="center"/>
            <w:tcMar>
              <w:top w:w="85" w:type="dxa"/>
              <w:left w:w="85" w:type="dxa"/>
              <w:bottom w:w="85" w:type="dxa"/>
              <w:right w:w="85" w:type="dxa"/>
            </w:tcMar>
            <w:shd w:fill="F4F5F8"/>
            <w:tcBorders>
              <w:top w:val="single" w:sz="4" w:color="D9D9D9"/>
              <w:left w:val="single" w:sz="4" w:color="D9D9D9"/>
              <w:bottom w:val="single" w:sz="4" w:color="D9D9D9"/>
              <w:right w:val="single" w:sz="4" w:color="D9D9D9"/>
            </w:tcBorders>
          </w:tcPr>
          <w:p>
            <w:pPr>
              <w:spacing w:after="0" w:line="250" w:lineRule="auto"/>
            </w:pPr>
            <w:r>
              <w:rPr>
                <w:sz w:val="20"/>
              </w:rPr>
              <w:t>Plans and evidence</w:t>
            </w:r>
          </w:p>
        </w:tc>
        <w:tc>
          <w:tcPr>
            <w:tcW w:type="dxa" w:w="3859"/>
            <w:vAlign w:val="center"/>
            <w:tcMar>
              <w:top w:w="85" w:type="dxa"/>
              <w:left w:w="85" w:type="dxa"/>
              <w:bottom w:w="85" w:type="dxa"/>
              <w:right w:w="85" w:type="dxa"/>
            </w:tcMar>
            <w:shd w:fill="F4F5F8"/>
            <w:tcBorders>
              <w:top w:val="single" w:sz="4" w:color="D9D9D9"/>
              <w:left w:val="single" w:sz="4" w:color="D9D9D9"/>
              <w:bottom w:val="single" w:sz="4" w:color="D9D9D9"/>
              <w:right w:val="single" w:sz="4" w:color="D9D9D9"/>
            </w:tcBorders>
          </w:tcPr>
          <w:p>
            <w:pPr>
              <w:spacing w:after="0" w:line="250" w:lineRule="auto"/>
            </w:pPr>
            <w:r>
              <w:rPr>
                <w:sz w:val="20"/>
              </w:rPr>
              <w:t>Creates plans, checks evidence and writes receipts</w:t>
            </w:r>
          </w:p>
        </w:tc>
        <w:tc>
          <w:tcPr>
            <w:tcW w:type="dxa" w:w="4334"/>
            <w:vAlign w:val="center"/>
            <w:tcMar>
              <w:top w:w="85" w:type="dxa"/>
              <w:left w:w="85" w:type="dxa"/>
              <w:bottom w:w="85" w:type="dxa"/>
              <w:right w:w="85" w:type="dxa"/>
            </w:tcMar>
            <w:shd w:fill="F4F5F8"/>
            <w:tcBorders>
              <w:top w:val="single" w:sz="4" w:color="D9D9D9"/>
              <w:left w:val="single" w:sz="4" w:color="D9D9D9"/>
              <w:bottom w:val="single" w:sz="4" w:color="D9D9D9"/>
              <w:right w:val="single" w:sz="4" w:color="D9D9D9"/>
            </w:tcBorders>
          </w:tcPr>
          <w:p>
            <w:pPr>
              <w:spacing w:after="0" w:line="250" w:lineRule="auto"/>
            </w:pPr>
            <w:r>
              <w:rPr>
                <w:sz w:val="20"/>
              </w:rPr>
              <w:t>Displays verified state and provenance</w:t>
            </w:r>
          </w:p>
        </w:tc>
      </w:tr>
      <w:tr>
        <w:trPr>
          <w:cantSplit/>
        </w:trPr>
        <w:tc>
          <w:tcPr>
            <w:tcW w:type="dxa" w:w="1973"/>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0" w:line="250" w:lineRule="auto"/>
            </w:pPr>
            <w:r>
              <w:rPr>
                <w:sz w:val="20"/>
              </w:rPr>
              <w:t>Execution</w:t>
            </w:r>
          </w:p>
        </w:tc>
        <w:tc>
          <w:tcPr>
            <w:tcW w:type="dxa" w:w="385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0" w:line="250" w:lineRule="auto"/>
            </w:pPr>
            <w:r>
              <w:rPr>
                <w:sz w:val="20"/>
              </w:rPr>
              <w:t>Runs permitted workers and records progress</w:t>
            </w:r>
          </w:p>
        </w:tc>
        <w:tc>
          <w:tcPr>
            <w:tcW w:type="dxa" w:w="433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0" w:line="250" w:lineRule="auto"/>
            </w:pPr>
            <w:r>
              <w:rPr>
                <w:sz w:val="20"/>
              </w:rPr>
              <w:t>Reads progress without starting work</w:t>
            </w:r>
          </w:p>
        </w:tc>
      </w:tr>
      <w:tr>
        <w:trPr>
          <w:cantSplit/>
        </w:trPr>
        <w:tc>
          <w:tcPr>
            <w:tcW w:type="dxa" w:w="1973"/>
            <w:vAlign w:val="center"/>
            <w:tcMar>
              <w:top w:w="85" w:type="dxa"/>
              <w:left w:w="85" w:type="dxa"/>
              <w:bottom w:w="85" w:type="dxa"/>
              <w:right w:w="85" w:type="dxa"/>
            </w:tcMar>
            <w:shd w:fill="F4F5F8"/>
            <w:tcBorders>
              <w:top w:val="single" w:sz="4" w:color="D9D9D9"/>
              <w:left w:val="single" w:sz="4" w:color="D9D9D9"/>
              <w:bottom w:val="single" w:sz="4" w:color="D9D9D9"/>
              <w:right w:val="single" w:sz="4" w:color="D9D9D9"/>
            </w:tcBorders>
          </w:tcPr>
          <w:p>
            <w:pPr>
              <w:spacing w:after="0" w:line="250" w:lineRule="auto"/>
            </w:pPr>
            <w:r>
              <w:rPr>
                <w:sz w:val="20"/>
              </w:rPr>
              <w:t>Human decisions</w:t>
            </w:r>
          </w:p>
        </w:tc>
        <w:tc>
          <w:tcPr>
            <w:tcW w:type="dxa" w:w="3859"/>
            <w:vAlign w:val="center"/>
            <w:tcMar>
              <w:top w:w="85" w:type="dxa"/>
              <w:left w:w="85" w:type="dxa"/>
              <w:bottom w:w="85" w:type="dxa"/>
              <w:right w:w="85" w:type="dxa"/>
            </w:tcMar>
            <w:shd w:fill="F4F5F8"/>
            <w:tcBorders>
              <w:top w:val="single" w:sz="4" w:color="D9D9D9"/>
              <w:left w:val="single" w:sz="4" w:color="D9D9D9"/>
              <w:bottom w:val="single" w:sz="4" w:color="D9D9D9"/>
              <w:right w:val="single" w:sz="4" w:color="D9D9D9"/>
            </w:tcBorders>
          </w:tcPr>
          <w:p>
            <w:pPr>
              <w:spacing w:after="0" w:line="250" w:lineRule="auto"/>
            </w:pPr>
            <w:r>
              <w:rPr>
                <w:sz w:val="20"/>
              </w:rPr>
              <w:t>Checks any decision before authorized use</w:t>
            </w:r>
          </w:p>
        </w:tc>
        <w:tc>
          <w:tcPr>
            <w:tcW w:type="dxa" w:w="4334"/>
            <w:vAlign w:val="center"/>
            <w:tcMar>
              <w:top w:w="85" w:type="dxa"/>
              <w:left w:w="85" w:type="dxa"/>
              <w:bottom w:w="85" w:type="dxa"/>
              <w:right w:w="85" w:type="dxa"/>
            </w:tcMar>
            <w:shd w:fill="F4F5F8"/>
            <w:tcBorders>
              <w:top w:val="single" w:sz="4" w:color="D9D9D9"/>
              <w:left w:val="single" w:sz="4" w:color="D9D9D9"/>
              <w:bottom w:val="single" w:sz="4" w:color="D9D9D9"/>
              <w:right w:val="single" w:sz="4" w:color="D9D9D9"/>
            </w:tcBorders>
          </w:tcPr>
          <w:p>
            <w:pPr>
              <w:spacing w:after="0" w:line="250" w:lineRule="auto"/>
            </w:pPr>
            <w:r>
              <w:rPr>
                <w:sz w:val="20"/>
              </w:rPr>
              <w:t>Records authenticated human decisions in supported workflows</w:t>
            </w:r>
          </w:p>
        </w:tc>
      </w:tr>
    </w:tbl>
    <w:p>
      <w:r>
        <w:br w:type="page"/>
      </w:r>
    </w:p>
    <w:p>
      <w:pPr>
        <w:pStyle w:val="Heading1"/>
      </w:pPr>
      <w:r>
        <w:t>How to use the CloudBank workflow</w:t>
      </w:r>
    </w:p>
    <w:p>
      <w:r>
        <w:t>Use a configured repository checkout with its Python environment and dependencies installed. On macOS or Linux, open a terminal in the repository root and run:</w:t>
      </w:r>
    </w:p>
    <w:p>
      <w:pPr>
        <w:keepNext/>
        <w:spacing w:after="40"/>
      </w:pPr>
      <w:r>
        <w:rPr>
          <w:rFonts w:ascii="Courier New" w:hAnsi="Courier New"/>
          <w:sz w:val="19"/>
        </w:rPr>
        <w:t>export PYTHONPATH=src</w:t>
      </w:r>
    </w:p>
    <w:p>
      <w:pPr>
        <w:keepNext/>
        <w:spacing w:after="40"/>
      </w:pPr>
      <w:r>
        <w:rPr>
          <w:rFonts w:ascii="Courier New" w:hAnsi="Courier New"/>
          <w:sz w:val="19"/>
        </w:rPr>
        <w:t>python -m lightyear_workflow.execution run</w:t>
      </w:r>
    </w:p>
    <w:p>
      <w:pPr>
        <w:keepNext/>
        <w:spacing w:after="40"/>
      </w:pPr>
      <w:r>
        <w:rPr>
          <w:rFonts w:ascii="Courier New" w:hAnsi="Courier New"/>
          <w:sz w:val="19"/>
        </w:rPr>
        <w:t>python -m lightyear_workflow.execution verify</w:t>
      </w:r>
    </w:p>
    <w:p>
      <w:pPr>
        <w:keepNext w:val="0"/>
        <w:spacing w:after="40"/>
      </w:pPr>
      <w:r>
        <w:rPr>
          <w:rFonts w:ascii="Courier New" w:hAnsi="Courier New"/>
          <w:sz w:val="19"/>
        </w:rPr>
        <w:t>./live-control-tower.sh serve</w:t>
      </w:r>
    </w:p>
    <w:p>
      <w:pPr>
        <w:spacing w:before="120"/>
      </w:pPr>
      <w:r>
        <w:t>On Windows, set $env:PYTHONPATH = 'src', use the same Python commands and start the viewer with .\live-control-tower.ps1 serve.</w:t>
      </w:r>
    </w:p>
    <w:p>
      <w:r>
        <w:rPr>
          <w:b/>
        </w:rPr>
        <w:t xml:space="preserve">1  Inspect the result. </w:t>
      </w:r>
      <w:r>
        <w:t>Open the address printed by the server and choose Work queue. The CloudBank Evidence execution section shows eight services and coverage across all six action kinds. Expand an action to inspect its prerequisites, receipts and derived evidence. Run provenance retains the original cloud identity and check boundaries.</w:t>
      </w:r>
    </w:p>
    <w:p>
      <w:r>
        <w:rPr>
          <w:b/>
        </w:rPr>
        <w:t xml:space="preserve">2  Investigate unresolved work. </w:t>
      </w:r>
      <w:r>
        <w:t>Use the filters and action cards to find unfinished work. A normal run performs 19 actions across five kinds, then reports that ledger application needs a human decision. Provision a CloudBank operator using the runbook, review the exact terms in the Tower, and record approval or rejection with a reason, owner and expiry.</w:t>
      </w:r>
    </w:p>
    <w:p>
      <w:r>
        <w:rPr>
          <w:b/>
        </w:rPr>
        <w:t xml:space="preserve">3  Resume with the record intact. </w:t>
      </w:r>
      <w:r>
        <w:t>If the engine was interrupted, run the same command against the same journal. It resumes unfinished work within the remaining limits and does not repeat completed actions. The default time allowance is five minutes from the first start, including downtime. After a terminal halt, new approval, or changed inputs, retain the old journal and start a new run directory.</w:t>
      </w:r>
    </w:p>
    <w:p>
      <w:pPr>
        <w:pStyle w:val="Heading1"/>
      </w:pPr>
      <w:r>
        <w:t>How the controls protect the result</w:t>
      </w:r>
    </w:p>
    <w:p>
      <w:r>
        <w:t>One engine writes each run. Limits allow eight iterations, 32 attempts, two attempts per action and 15 seconds per worker. Policy can narrow these limits. Ledger application additionally verifies the trusted human signature, complete decision history, exact scope and expiry immediately before committing. A concurrent rejection cannot slip between approval checking and application. The engine never signs its own approval.</w:t>
      </w:r>
    </w:p>
    <w:p>
      <w:pPr>
        <w:pStyle w:val="Heading1"/>
      </w:pPr>
      <w:r>
        <w:t>What the completion means</w:t>
      </w:r>
    </w:p>
    <w:p>
      <w:r>
        <w:t>All six kinds have passed an end-to-end test with 20 actions, including restart and an explicitly synthetic test operator’s signed approval. That fixture proves the mechanism and supplies no real customer approval. An ordinary run remains incomplete until its own human decision is valid. Action kinds and planning rounds are separate counts.</w:t>
      </w:r>
    </w:p>
    <w:p>
      <w:r>
        <w:t>MS72 provides a repeatable investigation record with visible ownership and preserves original cloud verdicts. An approved ledger projection retains both raw lane records and their declared differences. Fresh cloud runs, new customer captures and customer SSO require later work. The expansion is implemented and tested locally; CI and browser visual review remain release gates.</w:t>
      </w:r>
    </w:p>
    <w:p>
      <w:pPr>
        <w:spacing w:before="100" w:after="0"/>
      </w:pPr>
      <w:r>
        <w:rPr>
          <w:sz w:val="19"/>
        </w:rPr>
        <w:t xml:space="preserve">Runbook  </w:t>
      </w:r>
      <w:r>
        <w:rPr>
          <w:sz w:val="19"/>
        </w:rPr>
        <w:t>docs/control-tower-execution.md in this implementation branch.</w:t>
      </w:r>
    </w:p>
    <w:sectPr w:rsidR="00FC693F" w:rsidRPr="0006063C" w:rsidSect="00034616">
      <w:headerReference w:type="default" r:id="rId9"/>
      <w:footerReference w:type="default" r:id="rId10"/>
      <w:pgSz w:w="12240" w:h="15840"/>
      <w:pgMar w:top="1238" w:right="1037" w:bottom="936" w:left="1037" w:header="346" w:footer="4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166" w:val="right"/>
      </w:tabs>
    </w:pPr>
    <w:r>
      <w:rPr>
        <w:sz w:val="18"/>
      </w:rPr>
      <w:t>LIGHTYEAR  •  13 September 2026</w:t>
    </w:r>
    <w:r>
      <w:rPr>
        <w:sz w:val="18"/>
      </w:rPr>
      <w:tab/>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10166" w:val="right"/>
      </w:tabs>
      <w:spacing w:after="0"/>
    </w:pPr>
    <w:r>
      <w:drawing>
        <wp:inline xmlns:a="http://schemas.openxmlformats.org/drawingml/2006/main" xmlns:pic="http://schemas.openxmlformats.org/drawingml/2006/picture">
          <wp:extent cx="950976" cy="580729"/>
          <wp:docPr id="1" name="Picture 1" descr="LIGHTYEAR primary logo with the name between the two galaxy halves"/>
          <wp:cNvGraphicFramePr>
            <a:graphicFrameLocks noChangeAspect="1"/>
          </wp:cNvGraphicFramePr>
          <a:graphic>
            <a:graphicData uri="http://schemas.openxmlformats.org/drawingml/2006/picture">
              <pic:pic>
                <pic:nvPicPr>
                  <pic:cNvPr id="0" name="lightyear-primary.png"/>
                  <pic:cNvPicPr/>
                </pic:nvPicPr>
                <pic:blipFill>
                  <a:blip r:embed="rId1"/>
                  <a:stretch>
                    <a:fillRect/>
                  </a:stretch>
                </pic:blipFill>
                <pic:spPr>
                  <a:xfrm>
                    <a:off x="0" y="0"/>
                    <a:ext cx="950976" cy="580729"/>
                  </a:xfrm>
                  <a:prstGeom prst="rect"/>
                </pic:spPr>
              </pic:pic>
            </a:graphicData>
          </a:graphic>
        </wp:inline>
      </w:drawing>
    </w:r>
    <w:r>
      <w:rPr>
        <w:color w:val="000000"/>
        <w:sz w:val="18"/>
      </w:rPr>
      <w:tab/>
      <w:t>MS72  |  WORKFLOW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40"/>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eastAsia="Arial"/>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eastAsia="Arial"/>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eastAsia="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eastAsia="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120" w:line="240" w:lineRule="auto" w:before="0"/>
      <w:contextualSpacing/>
    </w:pPr>
    <w:rPr>
      <w:rFonts w:asciiTheme="majorHAnsi" w:eastAsiaTheme="majorEastAsia" w:hAnsiTheme="majorHAnsi" w:cstheme="majorBidi" w:ascii="Arial" w:hAnsi="Arial" w:eastAsia="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Arial" w:hAnsi="Arial" w:eastAsia="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MS72 Operator Guide</dc:title>
  <dc:subject>Purpose capabilities and operation of MS72 Steps 1 and 2</dc:subject>
  <dc:creator>LIGHTYEAR</dc:creator>
  <cp:keywords>MS72, Control Tower, CloudBank, evidence, workflow</cp:keywords>
  <dc:description>generated by python-docx</dc:description>
  <cp:lastModifiedBy/>
  <cp:revision>1</cp:revision>
  <dcterms:created xsi:type="dcterms:W3CDTF">2013-12-23T23:15:00Z</dcterms:created>
  <dcterms:modified xsi:type="dcterms:W3CDTF">2013-12-23T23:15:00Z</dcterms:modified>
  <cp:category/>
</cp:coreProperties>
</file>