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9A6B16"/>
          <w:sz w:val="18"/>
        </w:rPr>
        <w:t>CUSTOMER MILESTONE BRIEF</w:t>
      </w:r>
    </w:p>
    <w:p>
      <w:pPr>
        <w:spacing w:after="160"/>
      </w:pPr>
      <w:r>
        <w:rPr>
          <w:rFonts w:ascii="Calibri" w:hAnsi="Calibri"/>
          <w:b/>
          <w:color w:val="0B2545"/>
          <w:sz w:val="56"/>
        </w:rPr>
        <w:t>MS #45 - SAP ASE Semantic Source Adapter</w:t>
      </w:r>
    </w:p>
    <w:p>
      <w:pPr>
        <w:spacing w:after="360"/>
      </w:pPr>
      <w:r>
        <w:rPr>
          <w:rFonts w:ascii="Calibri" w:hAnsi="Calibri"/>
          <w:color w:val="4B5563"/>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F2F4F7"/>
          </w:tcPr>
          <w:p>
            <w:r>
              <w:rPr>
                <w:rFonts w:ascii="Calibri" w:hAnsi="Calibri"/>
                <w:b/>
                <w:color w:val="1F4D78"/>
              </w:rPr>
              <w:t>Status</w:t>
            </w:r>
          </w:p>
        </w:tc>
        <w:tc>
          <w:tcPr>
            <w:tcW w:type="dxa" w:w="6660"/>
            <w:tcMar>
              <w:top w:w="80" w:type="dxa"/>
              <w:bottom w:w="80" w:type="dxa"/>
              <w:start w:w="120" w:type="dxa"/>
              <w:end w:w="120" w:type="dxa"/>
            </w:tcMar>
            <w:vAlign w:val="center"/>
          </w:tcPr>
          <w:p>
            <w:r>
              <w:rPr>
                <w:rFonts w:ascii="Calibri" w:hAnsi="Calibri"/>
              </w:rPr>
              <w:t>Complete</w:t>
            </w:r>
          </w:p>
        </w:tc>
      </w:tr>
      <w:tr>
        <w:tc>
          <w:tcPr>
            <w:tcW w:type="dxa" w:w="2700"/>
            <w:tcMar>
              <w:top w:w="80" w:type="dxa"/>
              <w:bottom w:w="80" w:type="dxa"/>
              <w:start w:w="120" w:type="dxa"/>
              <w:end w:w="120" w:type="dxa"/>
            </w:tcMar>
            <w:vAlign w:val="center"/>
            <w:shd w:fill="F2F4F7"/>
          </w:tcPr>
          <w:p>
            <w:r>
              <w:rPr>
                <w:rFonts w:ascii="Calibri" w:hAnsi="Calibri"/>
                <w:b/>
                <w:color w:val="1F4D78"/>
              </w:rPr>
              <w:t>Release</w:t>
            </w:r>
          </w:p>
        </w:tc>
        <w:tc>
          <w:tcPr>
            <w:tcW w:type="dxa" w:w="6660"/>
            <w:tcMar>
              <w:top w:w="80" w:type="dxa"/>
              <w:bottom w:w="80" w:type="dxa"/>
              <w:start w:w="120" w:type="dxa"/>
              <w:end w:w="120" w:type="dxa"/>
            </w:tcMar>
            <w:vAlign w:val="center"/>
          </w:tcPr>
          <w:p>
            <w:r>
              <w:rPr>
                <w:rFonts w:ascii="Calibri" w:hAnsi="Calibri"/>
              </w:rPr>
              <w:t>0.45.0</w:t>
            </w:r>
          </w:p>
        </w:tc>
      </w:tr>
      <w:tr>
        <w:tc>
          <w:tcPr>
            <w:tcW w:type="dxa" w:w="2700"/>
            <w:tcMar>
              <w:top w:w="80" w:type="dxa"/>
              <w:bottom w:w="80" w:type="dxa"/>
              <w:start w:w="120" w:type="dxa"/>
              <w:end w:w="120" w:type="dxa"/>
            </w:tcMar>
            <w:vAlign w:val="center"/>
            <w:shd w:fill="F2F4F7"/>
          </w:tcPr>
          <w:p>
            <w:r>
              <w:rPr>
                <w:rFonts w:ascii="Calibri" w:hAnsi="Calibri"/>
                <w:b/>
                <w:color w:val="1F4D78"/>
              </w:rPr>
              <w:t>Date</w:t>
            </w:r>
          </w:p>
        </w:tc>
        <w:tc>
          <w:tcPr>
            <w:tcW w:type="dxa" w:w="6660"/>
            <w:tcMar>
              <w:top w:w="80" w:type="dxa"/>
              <w:bottom w:w="80" w:type="dxa"/>
              <w:start w:w="120" w:type="dxa"/>
              <w:end w:w="120" w:type="dxa"/>
            </w:tcMar>
            <w:vAlign w:val="center"/>
          </w:tcPr>
          <w:p>
            <w:r>
              <w:rPr>
                <w:rFonts w:ascii="Calibri" w:hAnsi="Calibri"/>
              </w:rPr>
              <w:t>2026-08-31</w:t>
            </w:r>
          </w:p>
        </w:tc>
      </w:tr>
      <w:tr>
        <w:tc>
          <w:tcPr>
            <w:tcW w:type="dxa" w:w="2700"/>
            <w:tcMar>
              <w:top w:w="80" w:type="dxa"/>
              <w:bottom w:w="80" w:type="dxa"/>
              <w:start w:w="120" w:type="dxa"/>
              <w:end w:w="120" w:type="dxa"/>
            </w:tcMar>
            <w:vAlign w:val="center"/>
            <w:shd w:fill="F2F4F7"/>
          </w:tcPr>
          <w:p>
            <w:r>
              <w:rPr>
                <w:rFonts w:ascii="Calibri" w:hAnsi="Calibri"/>
                <w:b/>
                <w:color w:val="1F4D78"/>
              </w:rPr>
              <w:t>Audience</w:t>
            </w:r>
          </w:p>
        </w:tc>
        <w:tc>
          <w:tcPr>
            <w:tcW w:type="dxa" w:w="6660"/>
            <w:tcMar>
              <w:top w:w="80" w:type="dxa"/>
              <w:bottom w:w="80" w:type="dxa"/>
              <w:start w:w="120" w:type="dxa"/>
              <w:end w:w="120" w:type="dxa"/>
            </w:tcMar>
            <w:vAlign w:val="center"/>
          </w:tcPr>
          <w:p>
            <w:r>
              <w:rPr>
                <w:rFonts w:ascii="Calibri" w:hAnsi="Calibri"/>
              </w:rPr>
              <w:t>Customers, partners, executives, architects, delivery teams, and assurance reviewers</w:t>
            </w:r>
          </w:p>
        </w:tc>
      </w:tr>
    </w:tbl>
    <w:p>
      <w:pPr>
        <w:pStyle w:val="Heading1"/>
      </w:pPr>
      <w:r>
        <w:t>Executive summary</w:t>
      </w:r>
    </w:p>
    <w:p>
      <w:r>
        <w:t>MS #45 - SAP ASE Semantic Source Adapter converts a specific part of the LIGHTYEAR modernization approach into a governed, reviewable capability. Lets a customer measure SAP ASE semantic risk before choosing a migration target or accepting a database-conversion claim.</w:t>
      </w:r>
    </w:p>
    <w:p>
      <w:pPr>
        <w:pStyle w:val="Heading1"/>
      </w:pPr>
      <w:r>
        <w:t>Why this matters to a customer</w:t>
      </w:r>
    </w:p>
    <w:p>
      <w:r>
        <w:t>Lets a customer measure SAP ASE semantic risk before choosing a migration target or accepting a database-conversion claim.</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 target-neutral SAP ASE SourceAdapter for discovery, privacy-safe profiles, sealed extraction, replication resume, and transaction capabilities.</w:t>
      </w:r>
    </w:p>
    <w:p>
      <w:pPr>
        <w:pStyle w:val="ListBullet"/>
      </w:pPr>
      <w:r>
        <w:t>A 2-table, 31-column catalog with 4 UDTs, 2 identity columns, 5 constraints, 3 indexes, 6 procedures, and 4 triggers.</w:t>
      </w:r>
    </w:p>
    <w:p>
      <w:pPr>
        <w:pStyle w:val="ListBullet"/>
      </w:pPr>
      <w:r>
        <w:t>A 187-case corpus across types, UDTs, identity, money, datetime, strings, Transact-SQL, stored logic, locking, rollback, and replication.</w:t>
      </w:r>
    </w:p>
    <w:p>
      <w:pPr>
        <w:pStyle w:val="ListBullet"/>
      </w:pPr>
      <w:r>
        <w:t>A 107-entry, five-class compatibility ledger covering every catalog object and 54 ASE behaviors.</w:t>
      </w:r>
    </w:p>
    <w:p>
      <w:pPr>
        <w:pStyle w:val="ListBullet"/>
      </w:pPr>
      <w:r>
        <w:t>Twelve gates, five schemas, ten artifacts, cross-platform launchers, and adversarial overclaim tests.</w:t>
      </w:r>
    </w:p>
    <w:p>
      <w:pPr>
        <w:pStyle w:val="Heading1"/>
      </w:pPr>
      <w:r>
        <w:t>How it differs from earlier work</w:t>
      </w:r>
    </w:p>
    <w:p>
      <w:r>
        <w:t>Earlier DB2 and Oracle work proved narrower paths. MS #45 qualifies a broader, target-neutral ASE boundary across data, transactions, replication, Transact-SQL, procedures, and triggers before any target claim.</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sap ase semantic source adapter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Catalog, rows, replication, and transactions are fixtures, not live ASE observations.</w:t>
      </w:r>
    </w:p>
    <w:p>
      <w:pPr>
        <w:pStyle w:val="ListBullet"/>
      </w:pPr>
      <w:r>
        <w:t>Stored logic is inventoried, not natively executed or complete.</w:t>
      </w:r>
    </w:p>
    <w:p>
      <w:pPr>
        <w:pStyle w:val="ListBullet"/>
      </w:pPr>
      <w:r>
        <w:t>No target is selected; PostgreSQL and Oracle qualification remain future pilot work.</w:t>
      </w:r>
    </w:p>
    <w:p>
      <w:pPr>
        <w:pStyle w:val="ListBullet"/>
      </w:pPr>
      <w:r>
        <w:t>Live equivalence, migration completion, and production readiness remain false.</w:t>
      </w:r>
    </w:p>
    <w:p>
      <w:pPr>
        <w:pStyle w:val="Heading1"/>
      </w:pPr>
      <w:r>
        <w:t>Source of record</w:t>
      </w:r>
    </w:p>
    <w:p>
      <w:pPr>
        <w:pStyle w:val="ListBullet"/>
      </w:pPr>
      <w:r>
        <w:t>CHANGELOG.md release section(s): 0.45.0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p>
      <w:pPr>
        <w:spacing w:before="200"/>
      </w:pPr>
      <w:r>
        <w:rPr>
          <w:rFonts w:ascii="Calibri" w:hAnsi="Calibri"/>
          <w:i/>
          <w:color w:val="6B7280"/>
          <w:sz w:val="18"/>
        </w:rPr>
        <w:t>The underlying schemas, receipts, ledgers, tests, and policy decisions remain authoritative when greater detail is required.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7"/>
      </w:rPr>
      <w:t xml:space="preserve">MS #45  |  Page </w:t>
    </w:r>
    <w: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D7DBE2"/>
      </w:pBdr>
    </w:pPr>
    <w:r>
      <w:rPr>
        <w:rFonts w:ascii="Calibri" w:hAnsi="Calibri"/>
        <w:b/>
        <w:color w:val="6B7280"/>
        <w:sz w:val="17"/>
      </w:rPr>
      <w:t>LIGHTYEAR  |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#45 - SAP ASE Semantic Source Adapter</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