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#07 - Autonomous Factory Run Engine</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0.7.0, 0.7.1</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2026-08-11 to 2026-08-11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#7 - Autonomous Factory Run Engine converts a specific part of the LIGHTYEAR modernization approach into a governed, reviewable capability. Introduces controlled planner, builder, and verifier automation with deterministic policy remaining authoritative.</w:t>
      </w:r>
    </w:p>
    <w:p>
      <w:pPr>
        <w:pStyle w:val="Heading1"/>
      </w:pPr>
      <w:r>
        <w:t>Why this matters to a customer</w:t>
      </w:r>
    </w:p>
    <w:p>
      <w:r>
        <w:t>Introduces controlled planner, builder, and verifier automation with deterministic policy remaining authoritative.</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deterministic autonomous-factory controller around replaceable planner, builder, and verifier agents; workers propose artifacts while deterministic policy remains authoritative.</w:t>
      </w:r>
    </w:p>
    <w:p>
      <w:pPr>
        <w:pStyle w:val="ListBullet"/>
      </w:pPr>
      <w:r>
        <w:t>Added versioned work-order, agent-artifact, and run-receipt contracts with strict path, attempt, file-count, patch-size, timeout, audience, and network-intent policies.</w:t>
      </w:r>
    </w:p>
    <w:p>
      <w:pPr>
        <w:pStyle w:val="ListBullet"/>
      </w:pPr>
      <w:r>
        <w:t>Added copy-on-run workspaces, exact bounded edit application, command-array acceptance gates, content-addressed artifacts, and an append-only hash-chained event ledger.</w:t>
      </w:r>
    </w:p>
    <w:p>
      <w:pPr>
        <w:pStyle w:val="ListBullet"/>
      </w:pPr>
      <w:r>
        <w:t>Added implementer/verifier separation so private gate output and diagnoses are withheld from the builder while public failure envelopes remain useful for repair.</w:t>
      </w:r>
    </w:p>
    <w:p>
      <w:pPr>
        <w:pStyle w:val="ListBullet"/>
      </w:pPr>
      <w:r>
        <w:t>Added local reference agents and an optional OpenAI Responses API adapter using strict structured output, disabled response storage, server-side credentials, and interchangeable model selection.</w:t>
      </w:r>
    </w:p>
    <w:p>
      <w:pPr>
        <w:pStyle w:val="ListBullet"/>
      </w:pPr>
      <w:r>
        <w:t>Added an offline five-fault INTCALC mutation gauntlet that proves every defect is rejected before repair and reports autonomous repairs and false acceptances separately.</w:t>
      </w:r>
    </w:p>
    <w:p>
      <w:pPr>
        <w:pStyle w:val="ListBullet"/>
      </w:pPr>
      <w:r>
        <w:t>Added a Factory control room to the graph explorer for run status, gates, state transitions, changed paths, receipt identity, and audience-filtered event inspection.</w:t>
      </w:r>
    </w:p>
    <w:p>
      <w:pPr>
        <w:pStyle w:val="ListBullet"/>
      </w:pPr>
      <w:r>
        <w:t>Expanded modern source indexing so factory, graph, oracle, benchmark, and test Python files are searchable source nodes with content-addressed evidence in the canonical graph.</w:t>
      </w:r>
    </w:p>
    <w:p>
      <w:pPr>
        <w:pStyle w:val="ListBullet"/>
      </w:pPr>
      <w:r>
        <w:t>Added factory contract, path-boundary, ledger-tamper, privacy, provider, benchmark, HTTP, and UI tests. Mainframe equivalence remains explicitly unclaimed until runtime evidence is connected.</w:t>
      </w:r>
    </w:p>
    <w:p>
      <w:pPr>
        <w:pStyle w:val="ListBullet"/>
      </w:pPr>
      <w:r>
        <w:t>Added shared macOS/Linux Python admission that automatically selects Python 3.11 or newer, supports an explicit LIGHTYEAR_PYTHON override, and rejects Apple's bundled Python 3.9 before a run can be misclassified as a semantic failure.</w:t>
      </w:r>
    </w:p>
    <w:p>
      <w:pPr>
        <w:pStyle w:val="ListBullet"/>
      </w:pPr>
      <w:r>
        <w:t>Made the offline benchmark candidate postpone annotation evaluation as a defensive import guard.</w:t>
      </w:r>
    </w:p>
    <w:p>
      <w:pPr>
        <w:pStyle w:val="ListBullet"/>
      </w:pPr>
      <w:r>
        <w:t>Added collision-safe, path-opaque run keys so repeated benchmark collections with the same human-readable run IDs remain independently addressable in the Factory control room.</w:t>
      </w:r>
    </w:p>
    <w:p>
      <w:pPr>
        <w:pStyle w:val="ListBullet"/>
      </w:pPr>
      <w:r>
        <w:t>Added supported/unsupported runtime-admission and repeated-collection regression tests.</w:t>
      </w:r>
    </w:p>
    <w:p>
      <w:pPr>
        <w:pStyle w:val="Heading1"/>
      </w:pPr>
      <w:r>
        <w:t>How it differs from earlier work</w:t>
      </w:r>
    </w:p>
    <w:p>
      <w:r>
        <w:t>MS #7 builds on MS #6 (Relationship and Source Evidence Intelligence). The earlier milestone established its own bounded capability; this milestone adds autonomous factory run engine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autonomous factory run engine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Added factory contract, path-boundary, ledger-tamper, privacy, provider, benchmark, HTTP, and UI tests. Mainframe equivalence remains explicitly unclaimed until runtime evidence is connected.</w:t>
      </w:r>
    </w:p>
    <w:p>
      <w:pPr>
        <w:pStyle w:val="Heading1"/>
      </w:pPr>
      <w:r>
        <w:t>Source of record</w:t>
      </w:r>
    </w:p>
    <w:p>
      <w:pPr>
        <w:pStyle w:val="ListBullet"/>
      </w:pPr>
      <w:r>
        <w:t>CHANGELOG.md release section(s): 0.7.0, 0.7.1</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#07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#07 - Autonomous Factory Run Engine</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