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#36 - COBOL Qualification Hardening</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0.36.0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2026-08-30</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#36 - COBOL Qualification Hardening converts a specific part of the LIGHTYEAR modernization approach into a governed, reviewable capability. Defines what the platform can and cannot claim across the discovered COBOL estate and separates static qualification from native execution.</w:t>
      </w:r>
    </w:p>
    <w:p>
      <w:pPr>
        <w:pStyle w:val="Heading1"/>
      </w:pPr>
      <w:r>
        <w:t>Why this matters to a customer</w:t>
      </w:r>
    </w:p>
    <w:p>
      <w:r>
        <w:t>Defines what the platform can and cannot claim across the discovered COBOL estate and separates static qualification from native execution.</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graph-bound COBOL qualification contract covering 55 programs, 927 paragraphs, 75 copybooks, 7,817 fields, 56 file handles, and their static dependency relationships.</w:t>
      </w:r>
    </w:p>
    <w:p>
      <w:pPr>
        <w:pStyle w:val="ListBullet"/>
      </w:pPr>
      <w:r>
        <w:t>Separated nine qualification gates for inventory, syntax/source format, copybook closure, data layout/numerics, control flow/calls, file behavior, DB2/CICS/IMS boundaries, local differential behavior, and authorized native compile/link/execute evidence.</w:t>
      </w:r>
    </w:p>
    <w:p>
      <w:pPr>
        <w:pStyle w:val="ListBullet"/>
      </w:pPr>
      <w:r>
        <w:t>Added a COBOL compatibility ledger covering source format, copybooks, PIC layouts, REDEFINES/OCCURS, decimal behavior, arithmetic, control flow, linkage, file status, embedded DB2, CICS, IMS, compiler options, and LE runtime semantics.</w:t>
      </w:r>
    </w:p>
    <w:p>
      <w:pPr>
        <w:pStyle w:val="ListBullet"/>
      </w:pPr>
      <w:r>
        <w:t>Required every COBOL boundary to resolve to exactly one of the five governing classifications and rejected silent policy acceptance or unsupported behavior without explicit exclusion.</w:t>
      </w:r>
    </w:p>
    <w:p>
      <w:pPr>
        <w:pStyle w:val="ListBullet"/>
      </w:pPr>
      <w:r>
        <w:t>Kept native compiler qualification, runtime equivalence, mainframe equivalence, and production readiness false; generated COBOL planning cells remain planning scopes only.</w:t>
      </w:r>
    </w:p>
    <w:p>
      <w:pPr>
        <w:pStyle w:val="Heading1"/>
      </w:pPr>
      <w:r>
        <w:t>How it differs from earlier work</w:t>
      </w:r>
    </w:p>
    <w:p>
      <w:r>
        <w:t>MS #36 builds on MS #35 (DB2 Semantic Adapter Hardening). The earlier milestone established its own bounded capability; this milestone adds cobol qualification hardening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cobol qualification hardening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Kept native compiler qualification, runtime equivalence, mainframe equivalence, and production readiness false; generated COBOL planning cells remain planning scopes only.</w:t>
      </w:r>
    </w:p>
    <w:p>
      <w:pPr>
        <w:pStyle w:val="Heading1"/>
      </w:pPr>
      <w:r>
        <w:t>Source of record</w:t>
      </w:r>
    </w:p>
    <w:p>
      <w:pPr>
        <w:pStyle w:val="ListBullet"/>
      </w:pPr>
      <w:r>
        <w:t>CHANGELOG.md release section(s): 0.36.0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#36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#36 - COBOL Qualification Hardening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