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#48 - iDempiere Oracle Reference Estate Inventory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0.48.0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#48 - iDempiere Oracle Reference Estate Inventory converts a specific part of the LIGHTYEAR modernization approach into a governed, reviewable capability. Replaces a toy Oracle source with a pinned, enterprise-shaped ERP reference estate while measuring its size and preserving the boundary between static inventory and behavioral proof.</w:t>
      </w:r>
    </w:p>
    <w:p>
      <w:pPr>
        <w:pStyle w:val="Heading1"/>
      </w:pPr>
      <w:r>
        <w:t>Why this matters to a customer</w:t>
      </w:r>
    </w:p>
    <w:p>
      <w:r>
        <w:t>Replaces a toy Oracle source with a pinned, enterprise-shaped ERP reference estate while measuring its size and preserving the boundary between static inventory and behavioral proof.</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supported iDempiere release-13 pin at commit 731515dcdd5278b843db33b9d3109d155b881951 with source, tree, date, and GPL-2.0 license identity.</w:t>
      </w:r>
    </w:p>
    <w:p>
      <w:pPr>
        <w:pStyle w:val="ListBullet"/>
      </w:pPr>
      <w:r>
        <w:t>A reproducible inventory tool that refuses a dirty checkout or any commit other than the pin and emits only derived counts and source-path references.</w:t>
      </w:r>
    </w:p>
    <w:p>
      <w:pPr>
        <w:pStyle w:val="ListBullet"/>
      </w:pPr>
      <w:r>
        <w:t>A measured 12,565-file estate with a 4,520-node, 36,819-edge internal Java source-unit graph and 2,823 Oracle SQL files.</w:t>
      </w:r>
    </w:p>
    <w:p>
      <w:pPr>
        <w:pStyle w:val="ListBullet"/>
      </w:pPr>
      <w:r>
        <w:t>An order-to-cash slice with 12 seed source units and a one-hop graph of 181 nodes and 497 edges.</w:t>
      </w:r>
    </w:p>
    <w:p>
      <w:pPr>
        <w:pStyle w:val="ListBullet"/>
      </w:pPr>
      <w:r>
        <w:t>A procure-to-pay slice with 12 seed source units and a one-hop graph of 177 nodes and 475 edges.</w:t>
      </w:r>
    </w:p>
    <w:p>
      <w:pPr>
        <w:pStyle w:val="ListBullet"/>
      </w:pPr>
      <w:r>
        <w:t>Curated document-flow maps that preserve the shared physical tables and the IsSOTrx and IsReceipt business selectors.</w:t>
      </w:r>
    </w:p>
    <w:p>
      <w:pPr>
        <w:pStyle w:val="ListBullet"/>
      </w:pPr>
      <w:r>
        <w:t>Eight prioritized Oracle semantic fixtures covering empty-string/null, NUMBER precision and scale, DATE arithmetic, NVL/DECODE coercion, ROWNUM ordering, SELECT FOR UPDATE, NO_DATA_FOUND, and LOB boundaries.</w:t>
      </w:r>
    </w:p>
    <w:p>
      <w:pPr>
        <w:pStyle w:val="ListBullet"/>
      </w:pPr>
      <w:r>
        <w:t>Regression checks for pin identity, graph measurements, slice semantics, corpus posture, non-vendoring, and explicit claim boundaries.</w:t>
      </w:r>
    </w:p>
    <w:p>
      <w:pPr>
        <w:pStyle w:val="Heading1"/>
      </w:pPr>
      <w:r>
        <w:t>How it differs from earlier work</w:t>
      </w:r>
    </w:p>
    <w:p>
      <w:r>
        <w:t>MS #43 qualified a bounded Oracle source adapter and MS #47 made evidence graph identity operational. MS #48 selects and measures the larger Oracle-equivalent reference estate that will supply future source and graph coverage without importing it into product runtime or upgrading static evidence into equivalence.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idempiere oracle reference estate inventory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iDempiere source is not vendored, built, executed, translated, or attached to product runtime.</w:t>
      </w:r>
    </w:p>
    <w:p>
      <w:pPr>
        <w:pStyle w:val="ListBullet"/>
      </w:pPr>
      <w:r>
        <w:t>The measured graph is a static Java source-unit dependency graph, not a complete application-dictionary, runtime, transaction, or database-foreign-key graph.</w:t>
      </w:r>
    </w:p>
    <w:p>
      <w:pPr>
        <w:pStyle w:val="ListBullet"/>
      </w:pPr>
      <w:r>
        <w:t>The two mapped slices are upstream reference flows, not customer source or observed customer transactions.</w:t>
      </w:r>
    </w:p>
    <w:p>
      <w:pPr>
        <w:pStyle w:val="ListBullet"/>
      </w:pPr>
      <w:r>
        <w:t>Oracle's official sample schemas are identified as the dialect authority but are not acquired or executed in this milestone.</w:t>
      </w:r>
    </w:p>
    <w:p>
      <w:pPr>
        <w:pStyle w:val="ListBullet"/>
      </w:pPr>
      <w:r>
        <w:t>CloudBank remains the intended modern destination, but no iDempiere-to-CloudBank mapping is claimed.</w:t>
      </w:r>
    </w:p>
    <w:p>
      <w:pPr>
        <w:pStyle w:val="ListBullet"/>
      </w:pPr>
      <w:r>
        <w:t>Native Oracle behavior, application equivalence, migration completion, and production readiness remain false.</w:t>
      </w:r>
    </w:p>
    <w:p>
      <w:pPr>
        <w:pStyle w:val="Heading1"/>
      </w:pPr>
      <w:r>
        <w:t>Source of record</w:t>
      </w:r>
    </w:p>
    <w:p>
      <w:pPr>
        <w:pStyle w:val="ListBullet"/>
      </w:pPr>
      <w:r>
        <w:t>CHANGELOG.md release section(s): 0.48.0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#48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#48 - iDempiere Oracle Reference Estate Inventory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