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 w:val="0"/>
          <w:i/>
        </w:rPr>
        <w:t>Where context becomes trusted action.</w:t>
      </w:r>
    </w:p>
    <w:p>
      <w:pPr>
        <w:pStyle w:val="Title"/>
      </w:pPr>
      <w:r>
        <w:t>MS 73 Run history bounded pattern reach and activity projection</w:t>
      </w:r>
    </w:p>
    <w:p>
      <w:pPr/>
      <w:r>
        <w:rPr>
          <w:b w:val="0"/>
          <w:i w:val="0"/>
        </w:rPr>
      </w:r>
      <w:r>
        <w:rPr>
          <w:b/>
          <w:i w:val="0"/>
        </w:rPr>
        <w:t>Status:</w:t>
      </w:r>
      <w:r>
        <w:rPr>
          <w:b w:val="0"/>
          <w:i w:val="0"/>
        </w:rPr>
        <w:t xml:space="preserve"> Implemented; engine recording remains MS74</w:t>
      </w:r>
    </w:p>
    <w:p>
      <w:pPr/>
      <w:r>
        <w:rPr>
          <w:b w:val="0"/>
          <w:i w:val="0"/>
        </w:rPr>
      </w:r>
      <w:r>
        <w:rPr>
          <w:b/>
          <w:i w:val="0"/>
        </w:rPr>
        <w:t>Date:</w:t>
      </w:r>
      <w:r>
        <w:rPr>
          <w:b w:val="0"/>
          <w:i w:val="0"/>
        </w:rPr>
        <w:t xml:space="preserve"> 2026-09-14</w:t>
      </w:r>
    </w:p>
    <w:p>
      <w:pPr/>
      <w:r>
        <w:rPr>
          <w:b w:val="0"/>
          <w:i w:val="0"/>
        </w:rPr>
      </w:r>
      <w:r>
        <w:rPr>
          <w:b/>
          <w:i w:val="0"/>
        </w:rPr>
        <w:t>Audience:</w:t>
      </w:r>
      <w:r>
        <w:rPr>
          <w:b w:val="0"/>
          <w:i w:val="0"/>
        </w:rPr>
        <w:t xml:space="preserve"> Operators, engineering teams and assurance reviewers</w:t>
      </w:r>
    </w:p>
    <w:p>
      <w:pPr>
        <w:pStyle w:val="Heading1"/>
      </w:pPr>
      <w:r>
        <w:rPr>
          <w:b w:val="0"/>
          <w:i w:val="0"/>
        </w:rPr>
        <w:t>Executive summary</w:t>
      </w:r>
    </w:p>
    <w:p>
      <w:pPr/>
      <w:r>
        <w:rPr>
          <w:b w:val="0"/>
          <w:i w:val="0"/>
        </w:rPr>
        <w:t>MS73 adds an index across finished runs and a read-only Control Tower view.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index retains one immutable row per run; customer-controlled compressed journals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 be pruned under an explicit retention policy. The default is 396 days 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completion. No pruning scheduler or journal storage service is installed.</w:t>
      </w:r>
    </w:p>
    <w:p>
      <w:pPr>
        <w:pStyle w:val="Heading1"/>
      </w:pPr>
      <w:r>
        <w:rPr>
          <w:b w:val="0"/>
          <w:i w:val="0"/>
        </w:rPr>
        <w:t>Delivered capability</w:t>
      </w:r>
    </w:p>
    <w:p>
      <w:pPr>
        <w:pStyle w:val="ListBullet"/>
      </w:pPr>
      <w:r>
        <w:rPr>
          <w:b w:val="0"/>
          <w:i w:val="0"/>
        </w:rPr>
        <w:t>Summarize completed, hash-chain-valid journals and bind each row to its journal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path, byte count and SHA-256. This structural check is not semantic qualification;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engine must independently admit its runs before recording them in MS74.</w:t>
      </w:r>
    </w:p>
    <w:p>
      <w:pPr>
        <w:pStyle w:val="ListBullet"/>
      </w:pPr>
      <w:r>
        <w:rPr>
          <w:b w:val="0"/>
          <w:i w:val="0"/>
        </w:rPr>
        <w:t>Rebuild all recorded row fields from surviving journals and their run/estate/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workload metadata. Retain index rows and hashes after pruning, with the actual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pruning time. Pruning metadata cannot be reconstructed from deleted journals.</w:t>
      </w:r>
    </w:p>
    <w:p>
      <w:pPr>
        <w:pStyle w:val="ListBullet"/>
      </w:pPr>
      <w:r>
        <w:rPr>
          <w:b w:val="0"/>
          <w:i w:val="0"/>
        </w:rPr>
        <w:t>Reject path traversal, changed journals, mismatched retention directories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replacement of existing run identities. Missing journals produce errors rather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than successful deletion counts. Pruning is an operator-invoked function.</w:t>
      </w:r>
    </w:p>
    <w:p>
      <w:pPr>
        <w:pStyle w:val="ListBullet"/>
      </w:pPr>
      <w:r>
        <w:rPr>
          <w:b w:val="0"/>
          <w:i w:val="0"/>
        </w:rPr>
        <w:t>Query weekly action and block events from index rows alone. The UI labels these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 activity, not resolved findings or a measure of semantic convergence. Multiple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actions or repeated runs can concern the same service.</w:t>
      </w:r>
    </w:p>
    <w:p>
      <w:pPr>
        <w:pStyle w:val="ListBullet"/>
      </w:pPr>
      <w:r>
        <w:rPr>
          <w:b w:val="0"/>
          <w:i w:val="0"/>
        </w:rPr>
        <w:t>Reject invalid/empty patterns, empty registers and incompatible comparison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records as unmeasured. A valid nonmatching register can produce a measured zero.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Pattern reach does not execute normalization or establish an accepted difference.</w:t>
      </w:r>
    </w:p>
    <w:p>
      <w:pPr>
        <w:pStyle w:val="ListBullet"/>
      </w:pPr>
      <w:r>
        <w:rPr>
          <w:b w:val="0"/>
          <w:i w:val="0"/>
        </w:rPr>
        <w:t xml:space="preserve">Serve </w:t>
      </w:r>
      <w:r>
        <w:rPr>
          <w:rFonts w:ascii="Courier New" w:hAnsi="Courier New"/>
          <w:b w:val="0"/>
          <w:i w:val="0"/>
          <w:sz w:val="18"/>
        </w:rPr>
        <w:t>/api/workflow/convergence</w:t>
      </w:r>
      <w:r>
        <w:rPr>
          <w:b w:val="0"/>
          <w:i w:val="0"/>
        </w:rPr>
        <w:t xml:space="preserve"> before graph refresh. Reads never initialize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or migrate a database. An absent index reports </w:t>
      </w:r>
      <w:r>
        <w:rPr>
          <w:rFonts w:ascii="Courier New" w:hAnsi="Courier New"/>
          <w:b w:val="0"/>
          <w:i w:val="0"/>
          <w:sz w:val="18"/>
        </w:rPr>
        <w:t>no-runs-recorded</w:t>
      </w:r>
      <w:r>
        <w:rPr>
          <w:b w:val="0"/>
          <w:i w:val="0"/>
        </w:rPr>
        <w:t>; an invalid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index reports </w:t>
      </w:r>
      <w:r>
        <w:rPr>
          <w:rFonts w:ascii="Courier New" w:hAnsi="Courier New"/>
          <w:b w:val="0"/>
          <w:i w:val="0"/>
          <w:sz w:val="18"/>
        </w:rPr>
        <w:t>invalid-run-index</w:t>
      </w:r>
      <w:r>
        <w:rPr>
          <w:b w:val="0"/>
          <w:i w:val="0"/>
        </w:rPr>
        <w:t xml:space="preserve"> and the UI reports unavailable history.</w:t>
      </w:r>
    </w:p>
    <w:p>
      <w:pPr>
        <w:pStyle w:val="Heading1"/>
      </w:pPr>
      <w:r>
        <w:rPr>
          <w:b w:val="0"/>
          <w:i w:val="0"/>
        </w:rPr>
        <w:t>Evidence and acceptance</w:t>
      </w:r>
    </w:p>
    <w:p>
      <w:pPr/>
      <w:r>
        <w:rPr>
          <w:b w:val="0"/>
          <w:i w:val="0"/>
        </w:rPr>
        <w:t>The original eleven supplied tests are retained, with the action count named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accurately, complete rebuilt rows compared, journal reads prohibited during trend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queries, and explicit SQLite connection cleanup. Additional regressions cover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 MS70 register, malformed counts, traversal, retention binding, immutable run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identity, altered journals, read-only projections and HTTP dispatch ordering.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Browser CI checks the empty and unavailable states on desktop and mobile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verifies that visiting the Tower never creates a run index.</w:t>
      </w:r>
    </w:p>
    <w:p>
      <w:pPr/>
      <w:r>
        <w:rPr>
          <w:b w:val="0"/>
          <w:i w:val="0"/>
        </w:rPr>
        <w:t xml:space="preserve">The original </w:t>
      </w:r>
      <w:r>
        <w:rPr>
          <w:rFonts w:ascii="Courier New" w:hAnsi="Courier New"/>
          <w:b w:val="0"/>
          <w:i w:val="0"/>
          <w:sz w:val="18"/>
        </w:rPr>
        <w:t>1252 passed, 21 skipped</w:t>
      </w:r>
      <w:r>
        <w:rPr>
          <w:b w:val="0"/>
          <w:i w:val="0"/>
        </w:rPr>
        <w:t xml:space="preserve"> count is superseded by these authorized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regression additions. Actual suite counts and environment limitations are recorded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 the PR; no test is removed to reproduce a historical total.</w:t>
      </w:r>
    </w:p>
    <w:p>
      <w:pPr>
        <w:pStyle w:val="Heading1"/>
      </w:pPr>
      <w:r>
        <w:rPr>
          <w:b w:val="0"/>
          <w:i w:val="0"/>
        </w:rPr>
        <w:t>Boundaries and claims not made</w:t>
      </w:r>
    </w:p>
    <w:p>
      <w:pPr>
        <w:pStyle w:val="ListBullet"/>
      </w:pPr>
      <w:r>
        <w:rPr>
          <w:b w:val="0"/>
          <w:i w:val="0"/>
        </w:rPr>
        <w:t>No customer run has produced a convergence trend. Test activity comes from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committed CloudBank journal; there is no seeded preview tool in the repository.</w:t>
      </w:r>
    </w:p>
    <w:p>
      <w:pPr>
        <w:pStyle w:val="ListBullet"/>
      </w:pPr>
      <w:r>
        <w:rPr>
          <w:b w:val="0"/>
          <w:i w:val="0"/>
        </w:rPr>
        <w:t>Retention has only been exercised on disposable test journals. No 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journal has been pruned.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blast_radius</w:t>
      </w:r>
      <w:r>
        <w:rPr>
          <w:b w:val="0"/>
          <w:i w:val="0"/>
        </w:rPr>
        <w:t xml:space="preserve"> is not called by </w:t>
      </w:r>
      <w:r>
        <w:rPr>
          <w:rFonts w:ascii="Courier New" w:hAnsi="Courier New"/>
          <w:b w:val="0"/>
          <w:i w:val="0"/>
          <w:sz w:val="18"/>
        </w:rPr>
        <w:t>planner.py</w:t>
      </w:r>
      <w:r>
        <w:rPr>
          <w:b w:val="0"/>
          <w:i w:val="0"/>
        </w:rPr>
        <w:t>; emitted plans still report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suppression_estimate: not-assessed</w:t>
      </w:r>
      <w:r>
        <w:rPr>
          <w:b w:val="0"/>
          <w:i w:val="0"/>
        </w:rPr>
        <w:t>. Raw MS70 pair-reference registers 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rejected until a caller resolves their bound comparison evidence into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supported per-comparison register. Pattern matches alone do not authorize signing.</w:t>
      </w:r>
    </w:p>
    <w:p>
      <w:pPr>
        <w:pStyle w:val="ListBullet"/>
      </w:pPr>
      <w:r>
        <w:rPr>
          <w:b w:val="0"/>
          <w:i w:val="0"/>
        </w:rPr>
        <w:t>The view has not been seen by a customer. Counts are action events, not unique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resolved findings, current backlog, or proof of improving platform capability.</w:t>
      </w:r>
    </w:p>
    <w:p>
      <w:pPr>
        <w:pStyle w:val="ListBullet"/>
      </w:pPr>
      <w:r>
        <w:rPr>
          <w:b w:val="0"/>
          <w:i w:val="0"/>
        </w:rPr>
        <w:t xml:space="preserve">No engine halt path calls </w:t>
      </w:r>
      <w:r>
        <w:rPr>
          <w:rFonts w:ascii="Courier New" w:hAnsi="Courier New"/>
          <w:b w:val="0"/>
          <w:i w:val="0"/>
          <w:sz w:val="18"/>
        </w:rPr>
        <w:t>record()</w:t>
      </w:r>
      <w:r>
        <w:rPr>
          <w:b w:val="0"/>
          <w:i w:val="0"/>
        </w:rPr>
        <w:t xml:space="preserve"> yet. MS74 must supply verified completed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runs and customer-controlled journal paths. The deployed view therefore remains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empty after this change.</w:t>
      </w:r>
    </w:p>
    <w:p>
      <w:pPr>
        <w:pStyle w:val="ListBullet"/>
      </w:pPr>
      <w:r>
        <w:rPr>
          <w:b w:val="0"/>
          <w:i w:val="0"/>
        </w:rPr>
        <w:t>The existing MS1–70 multi-format library remains intact. MS73 is a separately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declared, content-addressed implementation record. Word and PDF companions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were added in the October 14 documentation reconciliation.</w:t>
      </w:r>
    </w:p>
    <w:p>
      <w:pPr>
        <w:pStyle w:val="Heading1"/>
      </w:pPr>
      <w:r>
        <w:rPr>
          <w:b w:val="0"/>
          <w:i w:val="0"/>
        </w:rPr>
        <w:t>Source of record</w:t>
      </w:r>
    </w:p>
    <w:p>
      <w:pPr>
        <w:pStyle w:val="ListBullet"/>
      </w:pPr>
      <w:hyperlink r:id="rId11">
        <w:r>
          <w:rPr>
            <w:color w:val="244D79"/>
          </w:rPr>
          <w:t xml:space="preserve">Run index</w:t>
        </w:r>
      </w:hyperlink>
    </w:p>
    <w:p>
      <w:pPr>
        <w:pStyle w:val="ListBullet"/>
      </w:pPr>
      <w:hyperlink r:id="rId12">
        <w:r>
          <w:rPr>
            <w:color w:val="244D79"/>
          </w:rPr>
          <w:t xml:space="preserve">Pattern reach</w:t>
        </w:r>
      </w:hyperlink>
    </w:p>
    <w:p>
      <w:pPr>
        <w:pStyle w:val="ListBullet"/>
      </w:pPr>
      <w:hyperlink r:id="rId13">
        <w:r>
          <w:rPr>
            <w:color w:val="244D79"/>
          </w:rPr>
          <w:t xml:space="preserve">Regression tests</w:t>
        </w:r>
      </w:hyperlink>
    </w:p>
    <w:p>
      <w:pPr>
        <w:pStyle w:val="ListBullet"/>
      </w:pPr>
      <w:hyperlink r:id="rId14">
        <w:r>
          <w:rPr>
            <w:color w:val="244D79"/>
          </w:rPr>
          <w:t xml:space="preserve">Control Tower boundary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MS-73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owardweale/lightyear-carddemo-modernization/blob/main/src/lightyear_workflow/run_index.py" TargetMode="External"/><Relationship Id="rId12" Type="http://schemas.openxmlformats.org/officeDocument/2006/relationships/hyperlink" Target="https://github.com/howardweale/lightyear-carddemo-modernization/blob/main/src/lightyear_workflow/blast_radius.py" TargetMode="External"/><Relationship Id="rId13" Type="http://schemas.openxmlformats.org/officeDocument/2006/relationships/hyperlink" Target="https://github.com/howardweale/lightyear-carddemo-modernization/blob/main/tests/test_run_index.py" TargetMode="External"/><Relationship Id="rId14" Type="http://schemas.openxmlformats.org/officeDocument/2006/relationships/hyperlink" Target="https://github.com/howardweale/lightyear-carddemo-modernization/blob/main/docs/control-tower-workflow.md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73 Run history bounded pattern reach and activity projection</dc:title>
  <dc:subject>Canonical milestone record and bounded evidence</dc:subject>
  <dc:creator>LIGHTYEAR</dc:creator>
  <cp:keywords/>
  <dc:description>Source SHA256: a42a08b8fcca56c3834c3fe911222f2faf265d1e848b814fb2fcbfa93fe3ec45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