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MS77 Declarative batch invocation</w:t>
      </w:r>
    </w:p>
    <w:p>
      <w:pPr/>
      <w:r>
        <w:rPr>
          <w:b w:val="0"/>
          <w:i w:val="0"/>
        </w:rPr>
        <w:t xml:space="preserve">Status: </w:t>
      </w:r>
      <w:r>
        <w:rPr>
          <w:b/>
          <w:i w:val="0"/>
        </w:rPr>
        <w:t>partial — built, awaiting an authorised environment</w:t>
      </w:r>
      <w:r>
        <w:rPr>
          <w:b w:val="0"/>
          <w:i w:val="0"/>
        </w:rPr>
        <w:t>.</w:t>
      </w:r>
    </w:p>
    <w:p>
      <w:pPr/>
      <w:r>
        <w:rPr>
          <w:b w:val="0"/>
          <w:i w:val="0"/>
        </w:rPr>
        <w:t>A declarative pack now names the jobs, input datasets, output comparisons and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lane capabilities in scope. Its source lane observes completed jobs; it cannot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submit or replay. This milestone is built and mock-tested, not proven against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z/OS. The status must remain partial until a retained z/OS baseline exists.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>PYTHONPATH=src python3 -m unittest tests.test_batch_pack tests.te​st_zosmf_reader tests.test_zosmf_adapter -v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>PYTHONPATH=src python3 -c "from lightyear_workflow.batch_pack imp​ort load, plan; print(plan(load('spec/batch-packs/carddemo-intcal​c.pack.json')))"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>PYTHONPATH=src python3 -m pytest tests/ -q</w:t>
      </w:r>
    </w:p>
    <w:p>
      <w:pPr>
        <w:spacing w:after="0"/>
      </w:pPr>
    </w:p>
    <w:p>
      <w:pPr/>
      <w:r>
        <w:rPr>
          <w:b w:val="0"/>
          <w:i w:val="0"/>
        </w:rPr>
        <w:t>The reference pack declares INTCALC and POSTTRAN, three comparisons, and the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existing decimal, padding and filler normalization identifiers. It is a worked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CardDemo fixture, not a customer pack. Referencing a normalization does not grant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approval, perform comparison, or establish equivalence. Set comparisons require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 record key. Empty job/comparison collections and source submission verbs are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 xml:space="preserve">refused. </w:t>
      </w:r>
      <w:r>
        <w:rPr>
          <w:rFonts w:ascii="Courier New" w:hAnsi="Courier New"/>
          <w:b w:val="0"/>
          <w:i w:val="0"/>
          <w:sz w:val="18"/>
        </w:rPr>
        <w:t>plan()</w:t>
      </w:r>
      <w:r>
        <w:rPr>
          <w:b w:val="0"/>
          <w:i w:val="0"/>
        </w:rPr>
        <w:t xml:space="preserve"> rechecks capabilities and derives submission lists; the source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list is empty because submission is not an admitted source capability.</w:t>
      </w:r>
    </w:p>
    <w:p>
      <w:pPr>
        <w:pStyle w:val="Heading1"/>
      </w:pPr>
      <w:r>
        <w:rPr>
          <w:b w:val="0"/>
          <w:i w:val="0"/>
        </w:rPr>
        <w:t>Binding to the qualified collector</w:t>
      </w:r>
    </w:p>
    <w:p>
      <w:pPr/>
      <w:r>
        <w:rPr>
          <w:rFonts w:ascii="Courier New" w:hAnsi="Courier New"/>
          <w:b w:val="0"/>
          <w:i w:val="0"/>
          <w:sz w:val="18"/>
        </w:rPr>
        <w:t>lightyear_workflow.zosmf​_reader.ZosmfReader</w:t>
      </w:r>
      <w:r>
        <w:rPr>
          <w:b w:val="0"/>
          <w:i w:val="0"/>
        </w:rPr>
        <w:t xml:space="preserve"> sits above the existing</w:t>
      </w:r>
      <w:r>
        <w:rPr>
          <w:b w:val="0"/>
          <w:i w:val="0"/>
        </w:rPr>
        <w:t xml:space="preserve"> </w:t>
      </w:r>
      <w:r>
        <w:rPr>
          <w:rFonts w:ascii="Courier New" w:hAnsi="Courier New"/>
          <w:b w:val="0"/>
          <w:i w:val="0"/>
          <w:sz w:val="18"/>
        </w:rPr>
        <w:t>ZosmfClient</w:t>
      </w:r>
      <w:r>
        <w:rPr>
          <w:b w:val="0"/>
          <w:i w:val="0"/>
        </w:rPr>
        <w:t xml:space="preserve"> and </w:t>
      </w:r>
      <w:r>
        <w:rPr>
          <w:rFonts w:ascii="Courier New" w:hAnsi="Courier New"/>
          <w:b w:val="0"/>
          <w:i w:val="0"/>
          <w:sz w:val="18"/>
        </w:rPr>
        <w:t>ZosmfJobsAdapter</w:t>
      </w:r>
      <w:r>
        <w:rPr>
          <w:b w:val="0"/>
          <w:i w:val="0"/>
        </w:rPr>
        <w:t xml:space="preserve">. </w:t>
      </w:r>
      <w:r>
        <w:rPr>
          <w:rFonts w:ascii="Courier New" w:hAnsi="Courier New"/>
          <w:b/>
          <w:i w:val="0"/>
          <w:sz w:val="18"/>
        </w:rPr>
        <w:t>src/lightyear_runtime/zosmf.py</w:t>
      </w:r>
      <w:r>
        <w:rPr>
          <w:b/>
          <w:i w:val="0"/>
        </w:rPr>
        <w:t xml:space="preserve"> is</w:t>
      </w:r>
      <w:r>
        <w:rPr>
          <w:b/>
          <w:i w:val="0"/>
        </w:rPr>
        <w:t xml:space="preserve"> </w:t>
      </w:r>
      <w:r>
        <w:rPr>
          <w:b/>
          <w:i w:val="0"/>
        </w:rPr>
        <w:t>unchanged.</w:t>
      </w:r>
      <w:r>
        <w:rPr>
          <w:b w:val="0"/>
          <w:i w:val="0"/>
        </w:rPr>
        <w:t xml:space="preserve"> Source calls use its read-only GET interfaces only.</w:t>
      </w:r>
    </w:p>
    <w:p>
      <w:pPr/>
      <w:r>
        <w:rPr>
          <w:b w:val="0"/>
          <w:i w:val="0"/>
        </w:rPr>
        <w:t xml:space="preserve">The reader chooses the uniquely latest completed run by </w:t>
      </w:r>
      <w:r>
        <w:rPr>
          <w:rFonts w:ascii="Courier New" w:hAnsi="Courier New"/>
          <w:b w:val="0"/>
          <w:i w:val="0"/>
          <w:sz w:val="18"/>
        </w:rPr>
        <w:t>exec-ended</w:t>
      </w:r>
      <w:r>
        <w:rPr>
          <w:b w:val="0"/>
          <w:i w:val="0"/>
        </w:rPr>
        <w:t>, not by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 xml:space="preserve">list position or job-ID ordering. Its default owner filter is </w:t>
      </w:r>
      <w:r>
        <w:rPr>
          <w:rFonts w:ascii="Courier New" w:hAnsi="Courier New"/>
          <w:b w:val="0"/>
          <w:i w:val="0"/>
          <w:sz w:val="18"/>
        </w:rPr>
        <w:t>*</w:t>
      </w:r>
      <w:r>
        <w:rPr>
          <w:b w:val="0"/>
          <w:i w:val="0"/>
        </w:rPr>
        <w:t>; supply an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owner to narrow the search. An ambiguous latest run, missing completion time or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possibly truncated listing requires an explicit job ID. The selected job must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match the mapping, have status OUTPUT and retain its return code. A nonzero or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ABEND return code is preserved, never converted into success. Failed selection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clears the previous job context.</w:t>
      </w:r>
    </w:p>
    <w:p>
      <w:pPr/>
      <w:r>
        <w:rPr>
          <w:b w:val="0"/>
          <w:i w:val="0"/>
        </w:rPr>
        <w:t>The existing client exposes JES spool retrieval, not a catalogued MVS dataset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 xml:space="preserve">read operation. This binding therefore supports only </w:t>
      </w:r>
      <w:r>
        <w:rPr>
          <w:b/>
          <w:i w:val="0"/>
        </w:rPr>
        <w:t>explicitly mapped spool</w:t>
      </w:r>
      <w:r>
        <w:rPr>
          <w:b/>
          <w:i w:val="0"/>
        </w:rPr>
        <w:t xml:space="preserve"> </w:t>
      </w:r>
      <w:r>
        <w:rPr>
          <w:b/>
          <w:i w:val="0"/>
        </w:rPr>
        <w:t>outputs</w:t>
      </w:r>
      <w:r>
        <w:rPr>
          <w:b w:val="0"/>
          <w:i w:val="0"/>
        </w:rPr>
        <w:t xml:space="preserve"> of the selected job. Pass bindings separately from the qualified graph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mapping, for example: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>reader = ZosmfReader(client, config, mapping_path, datasets={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"CARDDEMO.TRANFILE": {"ddname": "TRANSACT", "stepname": "STEP​15"},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"CARDDEMO.ACCTFILE": {"ddname": "ACCTFILE", "stepname": "STEP​15"},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>})</w:t>
      </w:r>
    </w:p>
    <w:p>
      <w:pPr>
        <w:spacing w:after="0"/>
      </w:pPr>
    </w:p>
    <w:p>
      <w:pPr/>
      <w:r>
        <w:rPr>
          <w:b w:val="0"/>
          <w:i w:val="0"/>
        </w:rPr>
        <w:t>These reader bindings leave the graph mapping and its schema unchanged. Add</w:t>
      </w:r>
      <w:r>
        <w:rPr>
          <w:b w:val="0"/>
          <w:i w:val="0"/>
        </w:rPr>
        <w:t xml:space="preserve"> </w:t>
      </w:r>
      <w:r>
        <w:rPr>
          <w:rFonts w:ascii="Courier New" w:hAnsi="Courier New"/>
          <w:b w:val="0"/>
          <w:i w:val="0"/>
          <w:sz w:val="18"/>
        </w:rPr>
        <w:t>procstep</w:t>
      </w:r>
      <w:r>
        <w:rPr>
          <w:b w:val="0"/>
          <w:i w:val="0"/>
        </w:rPr>
        <w:t xml:space="preserve"> when needed to disambiguate a procedure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step. A dataset must resolve to exactly one spool file with the selected job's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identity and a known record count within the 5,000-record read limit. Missing,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ambiguous, oversized or unbound outputs fail rather than becoming empty data.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The example above is exercised with mock spool outputs; it does not assert that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the existing CardDemo jobs actually retain these datasets in spool. The checked-in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INTCALC collector mapping remains unchanged and contains no such bindings.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POSTTRAN needs its own verified graph/output mapping before collection. Historical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catalogued datasets, generation selection and binary dataset capture remain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unimplemented; reading today's dataset would not prove what a past job consumed.</w:t>
      </w:r>
    </w:p>
    <w:p>
      <w:pPr>
        <w:pStyle w:val="Heading1"/>
      </w:pPr>
      <w:r>
        <w:rPr>
          <w:b w:val="0"/>
          <w:i w:val="0"/>
        </w:rPr>
        <w:t>Evidence provenance</w:t>
      </w:r>
    </w:p>
    <w:p>
      <w:pPr/>
      <w:r>
        <w:rPr>
          <w:b w:val="0"/>
          <w:i w:val="0"/>
        </w:rPr>
        <w:t xml:space="preserve">The reader returns the collector bundle and its </w:t>
      </w:r>
      <w:r>
        <w:rPr>
          <w:rFonts w:ascii="Courier New" w:hAnsi="Courier New"/>
          <w:b w:val="0"/>
          <w:i w:val="0"/>
          <w:sz w:val="18"/>
        </w:rPr>
        <w:t>evidence_class</w:t>
      </w:r>
      <w:r>
        <w:rPr>
          <w:b w:val="0"/>
          <w:i w:val="0"/>
        </w:rPr>
        <w:t>. The source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receipt carries both through. HTTPS alone never upgrades simulated evidence;</w:t>
      </w:r>
      <w:r>
        <w:rPr>
          <w:b w:val="0"/>
          <w:i w:val="0"/>
        </w:rPr>
        <w:t xml:space="preserve"> </w:t>
      </w:r>
      <w:r>
        <w:rPr>
          <w:rFonts w:ascii="Courier New" w:hAnsi="Courier New"/>
          <w:b w:val="0"/>
          <w:i w:val="0"/>
          <w:sz w:val="18"/>
        </w:rPr>
        <w:t>attest_real_zos=True</w:t>
      </w:r>
      <w:r>
        <w:rPr>
          <w:b w:val="0"/>
          <w:i w:val="0"/>
        </w:rPr>
        <w:t xml:space="preserve"> remains explicit and the existing non-loopback HTTPS gate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is enforced. A boolean is required. These controls implement the collector's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attestation contract; they do not independently prove that a host is z/OS.</w:t>
      </w:r>
    </w:p>
    <w:p>
      <w:pPr/>
      <w:r>
        <w:rPr>
          <w:b w:val="0"/>
          <w:i w:val="0"/>
        </w:rPr>
        <w:t>Target receipts retain each lane's evidence class. Their combined class cannot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 xml:space="preserve">exceed either lane: simulated source or target means </w:t>
      </w:r>
      <w:r>
        <w:rPr>
          <w:b/>
          <w:i w:val="0"/>
        </w:rPr>
        <w:t>simulated</w:t>
      </w:r>
      <w:r>
        <w:rPr>
          <w:b w:val="0"/>
          <w:i w:val="0"/>
        </w:rPr>
        <w:t>. Unlabelled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fixture readers default to simulated; unknown classes are refused. Tests of the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 xml:space="preserve">explicit </w:t>
      </w:r>
      <w:r>
        <w:rPr>
          <w:rFonts w:ascii="Courier New" w:hAnsi="Courier New"/>
          <w:b w:val="0"/>
          <w:i w:val="0"/>
          <w:sz w:val="18"/>
        </w:rPr>
        <w:t>zos_observed</w:t>
      </w:r>
      <w:r>
        <w:rPr>
          <w:b w:val="0"/>
          <w:i w:val="0"/>
        </w:rPr>
        <w:t xml:space="preserve"> branch use a stub and are propagation tests only, never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 z/OS execution receipt or a qualified baseline.</w:t>
      </w:r>
    </w:p>
    <w:p>
      <w:pPr>
        <w:pStyle w:val="Heading1"/>
      </w:pPr>
      <w:r>
        <w:rPr>
          <w:b w:val="0"/>
          <w:i w:val="0"/>
        </w:rPr>
        <w:t>Supplied files and integration corrections</w:t>
      </w:r>
    </w:p>
    <w:p>
      <w:pPr/>
      <w:r>
        <w:rPr>
          <w:b w:val="0"/>
          <w:i w:val="0"/>
        </w:rPr>
        <w:t>The supplied pack is retained byte-for-byte. The twelve supplied tests retain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their assertions, with repository imports and fixture paths adjusted. The supplied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module was placed rather than regenerated, with focused corrections because it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 xml:space="preserve">originally dropped evidence provenance and hard-coded </w:t>
      </w:r>
      <w:r>
        <w:rPr>
          <w:rFonts w:ascii="Courier New" w:hAnsi="Courier New"/>
          <w:b w:val="0"/>
          <w:i w:val="0"/>
          <w:sz w:val="18"/>
        </w:rPr>
        <w:t>source_submits</w:t>
      </w:r>
      <w:r>
        <w:rPr>
          <w:b w:val="0"/>
          <w:i w:val="0"/>
        </w:rPr>
        <w:t xml:space="preserve"> despite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the spec's requirements. Additional tests cover these corrections, read-only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mock HTTP collection, latest-run selection, missing/ambiguous output bindings,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completion and identity checks, and simulation propagation through both lanes.</w:t>
      </w:r>
    </w:p>
    <w:p>
      <w:pPr>
        <w:pStyle w:val="Heading1"/>
      </w:pPr>
      <w:r>
        <w:rPr>
          <w:b w:val="0"/>
          <w:i w:val="0"/>
        </w:rPr>
        <w:t>Boundaries</w:t>
      </w:r>
    </w:p>
    <w:p>
      <w:pPr>
        <w:pStyle w:val="ListBullet"/>
      </w:pPr>
      <w:r>
        <w:rPr>
          <w:b w:val="0"/>
          <w:i w:val="0"/>
        </w:rPr>
        <w:t>No pack has run against a real z/OS system and no customer pack exists.</w:t>
      </w:r>
    </w:p>
    <w:p>
      <w:pPr>
        <w:pStyle w:val="ListBullet"/>
      </w:pPr>
      <w:r>
        <w:rPr>
          <w:rFonts w:ascii="Courier New" w:hAnsi="Courier New"/>
          <w:b w:val="0"/>
          <w:i w:val="0"/>
          <w:sz w:val="18"/>
        </w:rPr>
        <w:t>TargetLane.replay</w:t>
      </w:r>
      <w:r>
        <w:rPr>
          <w:b w:val="0"/>
          <w:i w:val="0"/>
        </w:rPr>
        <w:t xml:space="preserve"> requires a caller-supplied submit callable; no target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submission implementation, credential provisioning or scheduler is built.</w:t>
      </w:r>
    </w:p>
    <w:p>
      <w:pPr>
        <w:pStyle w:val="ListBullet"/>
      </w:pPr>
      <w:r>
        <w:rPr>
          <w:b w:val="0"/>
          <w:i w:val="0"/>
        </w:rPr>
        <w:t>Output declarations do not execute sequence, set or summary comparisons.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No end-to-end batch equivalence verdict or qualification is produced.</w:t>
      </w:r>
    </w:p>
    <w:p>
      <w:pPr>
        <w:pStyle w:val="ListBullet"/>
      </w:pPr>
      <w:r>
        <w:rPr>
          <w:b w:val="0"/>
          <w:i w:val="0"/>
        </w:rPr>
        <w:t>Inputs are declared dataset names, not captured historical input bytes. Their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transfer and identity binding to target execution remain future work.</w:t>
      </w:r>
    </w:p>
    <w:p>
      <w:pPr>
        <w:pStyle w:val="ListBullet"/>
      </w:pPr>
      <w:r>
        <w:rPr>
          <w:b w:val="0"/>
          <w:i w:val="0"/>
        </w:rPr>
        <w:t>Online transactions and CICS are entirely out of scope. Batch only.</w:t>
      </w:r>
    </w:p>
    <w:p>
      <w:pPr>
        <w:pStyle w:val="ListBullet"/>
      </w:pPr>
      <w:r>
        <w:rPr>
          <w:b w:val="0"/>
          <w:i w:val="0"/>
        </w:rPr>
        <w:t>No workload, platform or milestone status is promoted to proven or done by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these mock tests. Any technical-deck claim that batch invocation is done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remains incorrect until the authorised z/OS baseline and remaining execution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capabilities are demonstrated.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080" w:bottom="1008" w:left="1080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8"/>
      </w:rPr>
      <w:t xml:space="preserve">MS-77  |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drawing>
        <wp:inline xmlns:a="http://schemas.openxmlformats.org/drawingml/2006/main" xmlns:pic="http://schemas.openxmlformats.org/drawingml/2006/picture">
          <wp:extent cx="1097280" cy="283662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ightyear-horizontal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97280" cy="283662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45" w:lineRule="auto"/>
    </w:pPr>
    <w:rPr>
      <w:rFonts w:ascii="Arial" w:hAnsi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60" w:after="12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60" w:after="12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60" w:after="120"/>
      <w:outlineLvl w:val="2"/>
    </w:pPr>
    <w:rPr>
      <w:rFonts w:asciiTheme="majorHAnsi" w:eastAsiaTheme="majorEastAsia" w:hAnsiTheme="majorHAnsi" w:cstheme="majorBidi" w:ascii="Arial" w:hAnsi="Arial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/>
      <w:color w:val="00000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rial" w:hAnsi="Arial"/>
      <w:color w:val="00000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Arial" w:hAnsi="Arial"/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MS77 Declarative batch invocation</dc:title>
  <dc:subject>Canonical milestone record and bounded evidence</dc:subject>
  <dc:creator>LIGHTYEAR</dc:creator>
  <cp:keywords/>
  <dc:description>Source SHA256: aa84ce79a02a05f90f8d31b494bce8f8148f4cf55439da48f1754fb462a86a4a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