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  <w:jc w:val="center"/>
      </w:pPr>
      <w:r>
        <w:rPr>
          <w:rFonts w:ascii="Aptos" w:hAnsi="Aptos" w:eastAsia="Noto Sans CJK SC" w:cs="Aptos"/>
          <w:b/>
          <w:color w:val="1F4E79"/>
          <w:sz w:val="44"/>
        </w:rPr>
        <w:t>项目 Proposal</w:t>
      </w:r>
    </w:p>
    <w:p>
      <w:pPr>
        <w:spacing w:before="0" w:after="80" w:line="259" w:lineRule="auto"/>
        <w:jc w:val="center"/>
      </w:pPr>
      <w:r>
        <w:rPr>
          <w:rFonts w:ascii="Aptos" w:hAnsi="Aptos" w:eastAsia="Noto Sans CJK SC" w:cs="Aptos"/>
          <w:b/>
          <w:color w:val="282828"/>
          <w:sz w:val="36"/>
        </w:rPr>
        <w:t>文档 / 图表理解型多模态大模型</w:t>
      </w:r>
    </w:p>
    <w:p>
      <w:pPr>
        <w:spacing w:before="0" w:after="240" w:line="264" w:lineRule="auto"/>
        <w:jc w:val="center"/>
      </w:pPr>
      <w:r>
        <w:rPr>
          <w:rFonts w:ascii="Aptos" w:hAnsi="Aptos" w:eastAsia="Aptos" w:cs="Aptos"/>
          <w:i/>
          <w:color w:val="6E6E6E"/>
          <w:sz w:val="21"/>
        </w:rPr>
        <w:t>Build a Text-Rich Multimodal Reasoning Pipeline for Documents, Charts, and Scientific Figures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4C7E7"/>
          <w:left w:val="single" w:sz="8" w:space="0" w:color="B4C7E7"/>
          <w:bottom w:val="single" w:sz="8" w:space="0" w:color="B4C7E7"/>
          <w:right w:val="single" w:sz="8" w:space="0" w:color="B4C7E7"/>
          <w:insideH w:val="single" w:sz="8" w:space="0" w:color="B4C7E7"/>
          <w:insideV w:val="single" w:sz="8" w:space="0" w:color="B4C7E7"/>
        </w:tblBorders>
      </w:tblPr>
      <w:tblGrid>
        <w:gridCol w:w="4819"/>
        <w:gridCol w:w="4819"/>
      </w:tblGrid>
      <w:t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DEBF7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一句话定位</w:t>
            </w:r>
          </w:p>
        </w:tc>
        <w:tc>
          <w:tcPr>
            <w:tcW w:type="dxa" w:w="680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Noto Serif CJK SC" w:cs="Aptos"/>
                <w:color w:val="282828"/>
                <w:sz w:val="21"/>
              </w:rPr>
              <w:t>围绕文本密集视觉场景，使用公开 Hugging Face 数据集，构建一个统一的多模态理解与推理流水线，在文档问答、图表问答和科学图示理解之间验证跨任务迁移能力。</w:t>
            </w:r>
          </w:p>
        </w:tc>
      </w:tr>
      <w:t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DEBF7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核心数据</w:t>
            </w:r>
          </w:p>
        </w:tc>
        <w:tc>
          <w:tcPr>
            <w:tcW w:type="dxa" w:w="680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Noto Serif CJK SC" w:cs="Aptos"/>
                <w:color w:val="282828"/>
                <w:sz w:val="21"/>
              </w:rPr>
              <w:t>DocVQA + ChartQA 用于训练/适配，ScienceQA + MMMU 用于外部泛化评测。</w:t>
            </w:r>
          </w:p>
        </w:tc>
      </w:tr>
      <w:t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DEBF7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建议交付</w:t>
            </w:r>
          </w:p>
        </w:tc>
        <w:tc>
          <w:tcPr>
            <w:tcW w:type="dxa" w:w="680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Noto Serif CJK SC" w:cs="Aptos"/>
                <w:color w:val="282828"/>
                <w:sz w:val="21"/>
              </w:rPr>
              <w:t>课程 proposal、最终 poster、final paper、GitHub 仓库，以及可选的 Hugging Face adapter / demo 页面。</w:t>
            </w:r>
          </w:p>
        </w:tc>
      </w:tr>
    </w:tbl>
    <w:p>
      <w:pPr>
        <w:spacing w:before="160" w:after="0" w:line="300" w:lineRule="auto"/>
      </w:pPr>
      <w:r>
        <w:rPr>
          <w:rFonts w:ascii="Aptos" w:hAnsi="Aptos" w:eastAsia="Noto Serif CJK SC" w:cs="Aptos"/>
          <w:color w:val="6E6E6E"/>
          <w:sz w:val="21"/>
        </w:rPr>
        <w:t>说明：本 proposal 面向项目组内部讨论，重点回答“为什么做、用什么数据、怎么做、最后交付什么”。不讨论简历包装与个人投递策略。</w:t>
      </w:r>
    </w:p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1. 项目背景与选题动机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相比普通自然图像 caption 或宽泛 VQA，文档、图表与科学图示属于典型的 text-rich visual reasoning 场景：图中不仅有视觉对象，还包含大量文字、布局、表格、图例、坐标轴、数值与符号。模型若想答对问题，通常必须同时完成 OCR 级别读取、版面理解、局部定位、跨区域信息整合以及一定程度的逻辑推理。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这类任务离真实应用更近，例如财报阅读、表单抽取、图表分析、教育辅学、知识问答、企业内部文档助手等，因此既适合作为课程 final project，也适合做成一个可持续迭代的多模态项目方向。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从项目管理角度，这个题目还有两个明显优势：第一，所有核心数据集都能从 Hugging Face 公开访问，便于复现和协作；第二，任务形态相近但不完全同分布，天然适合做“统一训练 + 外部泛化评测”的实验设计。</w:t>
      </w:r>
    </w:p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2. 项目目标与研究问题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本项目不追求“训练一个万能模型”，而是希望围绕文本密集视觉任务，回答下面三个更具体、也更适合课程周期的问题：</w:t>
      </w:r>
    </w:p>
    <w:p>
      <w:pPr>
        <w:pStyle w:val="ListNumber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能否使用一个统一的开放式多模态模型与统一 prompt schema，同时覆盖文档问答、图表问答与科学图示理解？</w:t>
      </w:r>
    </w:p>
    <w:p>
      <w:pPr>
        <w:pStyle w:val="ListNumber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在 DocVQA 和 ChartQA 上进行轻量适配后，模型对 ScienceQA 和 MMMU 的跨数据集泛化是否能够提升？</w:t>
      </w:r>
    </w:p>
    <w:p>
      <w:pPr>
        <w:pStyle w:val="ListNumber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在文本密集视觉场景中，模型最主要的失败模式是什么：读错文字、读懂但找错区域、数值/逻辑推理失败，还是输出格式不稳定？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换句话说，我们想把这个项目做成一个“统一任务接口 + 轻量适配 + 泛化评测 + 错误分析”的完整 pipeline。</w:t>
      </w:r>
    </w:p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3. 公开数据集与任务设定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拟采用的数据集如下。训练阶段建议优先使用 DocVQA 与 ChartQA；评测阶段再引入 ScienceQA 与 MMMU 作为外部分布测试。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数据集</w:t>
            </w:r>
          </w:p>
        </w:tc>
        <w:tc>
          <w:tcPr>
            <w:tcW w:type="dxa" w:w="1814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公开来源</w:t>
            </w:r>
          </w:p>
        </w:tc>
        <w:tc>
          <w:tcPr>
            <w:tcW w:type="dxa" w:w="1361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规模（约）</w:t>
            </w:r>
          </w:p>
        </w:tc>
        <w:tc>
          <w:tcPr>
            <w:tcW w:type="dxa" w:w="3402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在本项目中的角色</w:t>
            </w:r>
          </w:p>
        </w:tc>
        <w:tc>
          <w:tcPr>
            <w:tcW w:type="dxa" w:w="1304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许可</w:t>
            </w:r>
          </w:p>
        </w:tc>
      </w:tr>
      <w:t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DocVQA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HF: pixparse/docvqa-wds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50K 问答</w:t>
              <w:br/>
              <w:t>12K+ 文档图像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文档图像问答主训练集；强调 OCR、版面理解与短答案抽取。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MIT</w:t>
            </w:r>
          </w:p>
        </w:tc>
      </w:tr>
      <w:t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ChartQA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HF: HuggingFaceM4/ChartQA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32,719 条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图表问答训练集；强调数值、图例、坐标与逻辑/算术推理。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GPL-3.0</w:t>
            </w:r>
          </w:p>
        </w:tc>
      </w:tr>
      <w:t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ScienceQA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HF: TheMrguiller/ScienceQA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21,208 题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外部泛化评测；强调多选科学问答、图示理解与解释能力。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CC BY-NC-SA</w:t>
            </w:r>
          </w:p>
        </w:tc>
      </w:tr>
      <w:t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MMMU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HF: MMMU/MMMU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11.5K 题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更高难度外部评测；覆盖 30 学科、多种图像类型与专家级推理。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Apache-2.0</w:t>
            </w:r>
          </w:p>
        </w:tc>
      </w:tr>
    </w:tbl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补充说明：四个数据集的任务形式并不完全一致，因此需要先做统一数据视图设计。例如 DocVQA 偏开放短答案，ChartQA 既有文本答案也有数值答案，ScienceQA / MMMU 中包含多选题。我们需要在数据预处理层统一 question、image、choices、answer 与 metadata 字段，并设计一致的输出约束。</w:t>
      </w:r>
    </w:p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4. 方法方案（建议版本）</w:t>
      </w:r>
    </w:p>
    <w:p>
      <w:pPr>
        <w:spacing w:before="160" w:after="80" w:line="252" w:lineRule="auto"/>
      </w:pPr>
      <w:r>
        <w:rPr>
          <w:rFonts w:ascii="Aptos" w:hAnsi="Aptos" w:eastAsia="Noto Sans CJK SC" w:cs="Aptos"/>
          <w:b/>
          <w:color w:val="1F4E79"/>
          <w:sz w:val="27"/>
        </w:rPr>
        <w:t>4.1 模型选择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模型不必一开始就固定成超大规模版本。更合理的路线是优先选择公开、生态成熟、易于 PEFT 的开源多模态模型，例如 Qwen2.5-VL 系列、InternVL2.5 小中型版本，或 SmolVLM2 等；先跑通小模型与统一评测，再决定是否追加更大模型。</w:t>
      </w:r>
    </w:p>
    <w:p>
      <w:pPr>
        <w:spacing w:before="160" w:after="80" w:line="252" w:lineRule="auto"/>
      </w:pPr>
      <w:r>
        <w:rPr>
          <w:rFonts w:ascii="Aptos" w:hAnsi="Aptos" w:eastAsia="Noto Sans CJK SC" w:cs="Aptos"/>
          <w:b/>
          <w:color w:val="1F4E79"/>
          <w:sz w:val="27"/>
        </w:rPr>
        <w:t>4.2 训练与评测框架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Baseline 1：零样本直接问答（direct answer）。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Baseline 2：结构化 prompt（限制输出格式，减少无关解释）。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Main method：在 DocVQA + ChartQA 上做 PEFT / LoRA 级别轻量适配。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External evaluation：在 ScienceQA 与 MMMU 上做统一解码与统一评测。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Analysis：按任务类别、答案类型与错误类型做切片分析。</w:t>
      </w:r>
    </w:p>
    <w:p>
      <w:pPr>
        <w:spacing w:before="160" w:after="80" w:line="252" w:lineRule="auto"/>
      </w:pPr>
      <w:r>
        <w:rPr>
          <w:rFonts w:ascii="Aptos" w:hAnsi="Aptos" w:eastAsia="Noto Sans CJK SC" w:cs="Aptos"/>
          <w:b/>
          <w:color w:val="1F4E79"/>
          <w:sz w:val="27"/>
        </w:rPr>
        <w:t>4.3 统一评测层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这个项目真正的“系统感”来自 evaluator。我们需要做的不只是跑分，而是把不同 benchmark 的评测逻辑统一起来：DocVQA 采用 ANLS，ScienceQA / MMMU 采用 accuracy，多数数值型图表题可加入数字规范化和容差匹配规则。最终输出不仅是单个总分，还应包含按数据集、任务类型、答案类型和错误类别划分的结果表。</w:t>
      </w:r>
    </w:p>
    <w:p>
      <w:pPr>
        <w:spacing w:before="160" w:after="80" w:line="252" w:lineRule="auto"/>
      </w:pPr>
      <w:r>
        <w:rPr>
          <w:rFonts w:ascii="Aptos" w:hAnsi="Aptos" w:eastAsia="Noto Sans CJK SC" w:cs="Aptos"/>
          <w:b/>
          <w:color w:val="1F4E79"/>
          <w:sz w:val="27"/>
        </w:rPr>
        <w:t>4.4 错误分析（建议至少 5 类）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OCR / text reading failure：图中文字读取错误或遗漏。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Layout / grounding failure：看见文字但定位错区域，或混淆表格/图例/坐标。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Chart reasoning failure：读到元素但数值关系、对比关系或聚合运算出错。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Scientific figure reasoning failure：图示理解、符号解释、跨模态关联失败。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Output mismatch：答案本身可能接近正确，但输出格式、选项映射或单位表达不规范。</w:t>
      </w:r>
    </w:p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5. 建议的项目分工（3 人版本）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如果我们按三人小组推进，建议按“数据与评测 / 训练与工程 / 分析与写作”进行主责分配，但中间保持交叉 review，避免最后只剩一人写报告。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213"/>
        <w:gridCol w:w="3213"/>
        <w:gridCol w:w="3213"/>
      </w:tblGrid>
      <w:tr>
        <w:tc>
          <w:tcPr>
            <w:tcW w:type="dxa" w:w="1814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角色</w:t>
            </w:r>
          </w:p>
        </w:tc>
        <w:tc>
          <w:tcPr>
            <w:tcW w:type="dxa" w:w="2948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主责内容</w:t>
            </w:r>
          </w:p>
        </w:tc>
        <w:tc>
          <w:tcPr>
            <w:tcW w:type="dxa" w:w="3742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关键产出</w:t>
            </w:r>
          </w:p>
        </w:tc>
      </w:tr>
      <w:tr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A：数据与评测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统一数据 schema、清洗、answer normalization、评测脚本。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dataset loader、metrics、result tables。</w:t>
            </w:r>
          </w:p>
        </w:tc>
      </w:tr>
      <w:tr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B：训练与推理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模型加载、LoRA/PEFT、训练配置、推理脚本与实验管理。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baseline / SFT checkpoints、training logs。</w:t>
            </w:r>
          </w:p>
        </w:tc>
      </w:tr>
      <w:tr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C：分析与文档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错误分类、案例可视化、海报/报告初稿、仓库整理。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analysis figures、poster、final paper。</w:t>
            </w:r>
          </w:p>
        </w:tc>
      </w:tr>
    </w:tbl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6. 课程完成物与建议交付形态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从课程要求出发，最基本的完成物是：项目 poster、final paper，以及可运行的代码与实验结果。结合老师在课件中展示的优秀项目公开形态，我们建议把本项目组织成“三位一体”的交付：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课程层：proposal → poster → final paper，确保课程评分所需内容完整。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工程层：整理成结构清晰的 GitHub 仓库，包含数据处理、训练、评测与结果复现。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模型/演示层：如条件允许，可补充 Hugging Face adapter 或简易 demo，形成更完整的项目闭环。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这样的组织方式有两个好处：一是课程交付与开源交付不冲突；二是后续如果我们还想继续深化，不需要重搭项目骨架。</w:t>
      </w:r>
    </w:p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7. 如果后续想继续做强，可以深化的三个方向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这一部分不是课程必需项，而是给团队留一个上限。若项目推进顺利，后续想把它发展成更强的技术报告或预印本，可以优先往下面三个方向深入：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方向一：跨 benchmark 迁移研究。系统比较“只训 DocVQA、只训 ChartQA、混合训练、带任务标签的混合训练”对 ScienceQA / MMMU 外部泛化的影响。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方向二：统一推理与输出格式研究。比较 direct answer、reasoned answer、JSON / constrained output 对 text-rich 任务的帮助与代价。</w:t>
      </w:r>
    </w:p>
    <w:p>
      <w:pPr>
        <w:pStyle w:val="ListBullet"/>
        <w:spacing w:before="0" w:after="40" w:line="293" w:lineRule="auto"/>
      </w:pPr>
      <w:r>
        <w:rPr>
          <w:rFonts w:ascii="Aptos" w:hAnsi="Aptos" w:eastAsia="Noto Serif CJK SC" w:cs="Aptos"/>
          <w:color w:val="282828"/>
          <w:sz w:val="22"/>
        </w:rPr>
        <w:t>方向三：细粒度错误分析与 evaluator 工具化。把错误 taxonomy、answer normalization、数值容差匹配做成更完整的评测工具包。</w:t>
      </w:r>
    </w:p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8. 风险与对应策略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819"/>
        <w:gridCol w:w="4819"/>
      </w:tblGrid>
      <w:tr>
        <w:tc>
          <w:tcPr>
            <w:tcW w:type="dxa" w:w="2948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风险点</w:t>
            </w:r>
          </w:p>
        </w:tc>
        <w:tc>
          <w:tcPr>
            <w:tcW w:type="dxa" w:w="5669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应对策略</w:t>
            </w:r>
          </w:p>
        </w:tc>
      </w:tr>
      <w:tr>
        <w:tc>
          <w:tcPr>
            <w:tcW w:type="dxa" w:w="481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任务异质性高，统一难度大</w:t>
            </w:r>
          </w:p>
        </w:tc>
        <w:tc>
          <w:tcPr>
            <w:tcW w:type="dxa" w:w="481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先统一输入/输出格式，不急于一次性混训全部任务；先跑两类训练集，再扩展外部评测。</w:t>
            </w:r>
          </w:p>
        </w:tc>
      </w:tr>
      <w:tr>
        <w:tc>
          <w:tcPr>
            <w:tcW w:type="dxa" w:w="481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OCR 与答案规范化噪声大</w:t>
            </w:r>
          </w:p>
        </w:tc>
        <w:tc>
          <w:tcPr>
            <w:tcW w:type="dxa" w:w="481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提前建设 normalization 与 evaluator，避免最后阶段才发现“答案明明接近却被判错”。</w:t>
            </w:r>
          </w:p>
        </w:tc>
      </w:tr>
      <w:tr>
        <w:tc>
          <w:tcPr>
            <w:tcW w:type="dxa" w:w="481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模型太大，训练成本高</w:t>
            </w:r>
          </w:p>
        </w:tc>
        <w:tc>
          <w:tcPr>
            <w:tcW w:type="dxa" w:w="481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优先 PEFT + 小中模型；必要时先做 zero-shot / prompt baseline 保证能交付。</w:t>
            </w:r>
          </w:p>
        </w:tc>
      </w:tr>
      <w:tr>
        <w:tc>
          <w:tcPr>
            <w:tcW w:type="dxa" w:w="481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数据许可复杂</w:t>
            </w:r>
          </w:p>
        </w:tc>
        <w:tc>
          <w:tcPr>
            <w:tcW w:type="dxa" w:w="481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项目初期就记录数据来源与许可；若后续公开模型或 demo，再做一次专门的许可核对。</w:t>
            </w:r>
          </w:p>
        </w:tc>
      </w:tr>
    </w:tbl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9. 初步时间表（4 周版本）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213"/>
        <w:gridCol w:w="3213"/>
        <w:gridCol w:w="3213"/>
      </w:tblGrid>
      <w:tr>
        <w:tc>
          <w:tcPr>
            <w:tcW w:type="dxa" w:w="1417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阶段</w:t>
            </w:r>
          </w:p>
        </w:tc>
        <w:tc>
          <w:tcPr>
            <w:tcW w:type="dxa" w:w="2835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目标</w:t>
            </w:r>
          </w:p>
        </w:tc>
        <w:tc>
          <w:tcPr>
            <w:tcW w:type="dxa" w:w="4365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 w:cs="Aptos"/>
                <w:b/>
                <w:color w:val="1F4E79"/>
                <w:sz w:val="21"/>
              </w:rPr>
              <w:t>关键产出</w:t>
            </w:r>
          </w:p>
        </w:tc>
      </w:tr>
      <w:tr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Week 1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数据打通 + baseline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下载数据、统一 schema、跑通 zero-shot / structured baseline。</w:t>
            </w:r>
          </w:p>
        </w:tc>
      </w:tr>
      <w:tr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Week 2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轻量适配训练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完成 DocVQA + ChartQA 的 PEFT 训练与验证。</w:t>
            </w:r>
          </w:p>
        </w:tc>
      </w:tr>
      <w:tr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Week 3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外部评测 + 错误分析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在 ScienceQA / MMMU 上统一评测并整理失败案例。</w:t>
            </w:r>
          </w:p>
        </w:tc>
      </w:tr>
      <w:tr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Week 4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海报/论文/仓库整理</w:t>
            </w:r>
          </w:p>
        </w:tc>
        <w:tc>
          <w:tcPr>
            <w:tcW w:type="dxa" w:w="32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Aptos" w:hAnsi="Aptos" w:eastAsia="Noto Serif CJK SC" w:cs="Aptos"/>
                <w:color w:val="282828"/>
                <w:sz w:val="20"/>
              </w:rPr>
              <w:t>完成结果表、可视化、poster、final paper 与 repo 文档。</w:t>
            </w:r>
          </w:p>
        </w:tc>
      </w:tr>
    </w:tbl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10. 结论</w:t>
      </w:r>
    </w:p>
    <w:p>
      <w:pPr>
        <w:spacing w:before="0" w:after="120" w:line="307" w:lineRule="auto"/>
      </w:pPr>
      <w:r>
        <w:rPr>
          <w:rFonts w:ascii="Aptos" w:hAnsi="Aptos" w:eastAsia="Noto Serif CJK SC" w:cs="Aptos"/>
          <w:color w:val="282828"/>
          <w:sz w:val="22"/>
        </w:rPr>
        <w:t>综合来看，这个题目最大的优点不是“单一 benchmark 漂亮分数”，而是它能在课程周期内形成一个完整且可扩展的多模态项目骨架：有公开数据、有明确任务、有统一 pipeline、有外部泛化评测，也有足够空间做错误分析和后续深化。对我们小组而言，它是一个兼顾可落地性、研究味道和后续开源可能性的稳妥选题。</w:t>
      </w:r>
    </w:p>
    <w:p>
      <w:pPr>
        <w:spacing w:before="200" w:after="120" w:line="252" w:lineRule="auto"/>
      </w:pPr>
      <w:r>
        <w:rPr>
          <w:rFonts w:ascii="Aptos" w:hAnsi="Aptos" w:eastAsia="Noto Sans CJK SC" w:cs="Aptos"/>
          <w:b/>
          <w:color w:val="1F4E79"/>
          <w:sz w:val="32"/>
        </w:rPr>
        <w:t>附录：公开数据集与参考链接</w:t>
      </w:r>
    </w:p>
    <w:p>
      <w:pPr>
        <w:pStyle w:val="ListBullet"/>
        <w:spacing w:before="0" w:after="20" w:line="269" w:lineRule="auto"/>
      </w:pPr>
      <w:r>
        <w:rPr>
          <w:rFonts w:ascii="Aptos" w:hAnsi="Aptos" w:eastAsia="Noto Serif CJK SC" w:cs="Aptos"/>
          <w:b/>
          <w:color w:val="282828"/>
          <w:sz w:val="20"/>
        </w:rPr>
        <w:t xml:space="preserve">DocVQA dataset card: </w:t>
      </w:r>
      <w:hyperlink r:id="rId10">
        <w:r>
          <w:rPr>
            <w:rStyle w:val="Hyperlink"/>
            <w:color w:val="1F4E79"/>
            <w:u w:val="single"/>
            <w:rFonts w:ascii="Aptos" w:hAnsi="Aptos" w:eastAsia="Noto Serif CJK SC"/>
          </w:rPr>
          <w:t>https://huggingface.co/datasets/pixparse/docvqa-wds</w:t>
        </w:r>
      </w:hyperlink>
    </w:p>
    <w:p>
      <w:pPr>
        <w:pStyle w:val="ListBullet"/>
        <w:spacing w:before="0" w:after="20" w:line="269" w:lineRule="auto"/>
      </w:pPr>
      <w:r>
        <w:rPr>
          <w:rFonts w:ascii="Aptos" w:hAnsi="Aptos" w:eastAsia="Noto Serif CJK SC" w:cs="Aptos"/>
          <w:b/>
          <w:color w:val="282828"/>
          <w:sz w:val="20"/>
        </w:rPr>
        <w:t xml:space="preserve">ChartQA dataset card: </w:t>
      </w:r>
      <w:hyperlink r:id="rId11">
        <w:r>
          <w:rPr>
            <w:rStyle w:val="Hyperlink"/>
            <w:color w:val="1F4E79"/>
            <w:u w:val="single"/>
            <w:rFonts w:ascii="Aptos" w:hAnsi="Aptos" w:eastAsia="Noto Serif CJK SC"/>
          </w:rPr>
          <w:t>https://huggingface.co/datasets/HuggingFaceM4/ChartQA</w:t>
        </w:r>
      </w:hyperlink>
    </w:p>
    <w:p>
      <w:pPr>
        <w:pStyle w:val="ListBullet"/>
        <w:spacing w:before="0" w:after="20" w:line="269" w:lineRule="auto"/>
      </w:pPr>
      <w:r>
        <w:rPr>
          <w:rFonts w:ascii="Aptos" w:hAnsi="Aptos" w:eastAsia="Noto Serif CJK SC" w:cs="Aptos"/>
          <w:b/>
          <w:color w:val="282828"/>
          <w:sz w:val="20"/>
        </w:rPr>
        <w:t xml:space="preserve">ScienceQA dataset card: </w:t>
      </w:r>
      <w:hyperlink r:id="rId12">
        <w:r>
          <w:rPr>
            <w:rStyle w:val="Hyperlink"/>
            <w:color w:val="1F4E79"/>
            <w:u w:val="single"/>
            <w:rFonts w:ascii="Aptos" w:hAnsi="Aptos" w:eastAsia="Noto Serif CJK SC"/>
          </w:rPr>
          <w:t>https://huggingface.co/datasets/TheMrguiller/ScienceQA</w:t>
        </w:r>
      </w:hyperlink>
    </w:p>
    <w:p>
      <w:pPr>
        <w:pStyle w:val="ListBullet"/>
        <w:spacing w:before="0" w:after="20" w:line="269" w:lineRule="auto"/>
      </w:pPr>
      <w:r>
        <w:rPr>
          <w:rFonts w:ascii="Aptos" w:hAnsi="Aptos" w:eastAsia="Noto Serif CJK SC" w:cs="Aptos"/>
          <w:b/>
          <w:color w:val="282828"/>
          <w:sz w:val="20"/>
        </w:rPr>
        <w:t xml:space="preserve">ScienceQA official site: </w:t>
      </w:r>
      <w:hyperlink r:id="rId13">
        <w:r>
          <w:rPr>
            <w:rStyle w:val="Hyperlink"/>
            <w:color w:val="1F4E79"/>
            <w:u w:val="single"/>
            <w:rFonts w:ascii="Aptos" w:hAnsi="Aptos" w:eastAsia="Noto Serif CJK SC"/>
          </w:rPr>
          <w:t>https://scienceqa.github.io/</w:t>
        </w:r>
      </w:hyperlink>
    </w:p>
    <w:p>
      <w:pPr>
        <w:pStyle w:val="ListBullet"/>
        <w:spacing w:before="0" w:after="20" w:line="269" w:lineRule="auto"/>
      </w:pPr>
      <w:r>
        <w:rPr>
          <w:rFonts w:ascii="Aptos" w:hAnsi="Aptos" w:eastAsia="Noto Serif CJK SC" w:cs="Aptos"/>
          <w:b/>
          <w:color w:val="282828"/>
          <w:sz w:val="20"/>
        </w:rPr>
        <w:t xml:space="preserve">MMMU dataset card: </w:t>
      </w:r>
      <w:hyperlink r:id="rId14">
        <w:r>
          <w:rPr>
            <w:rStyle w:val="Hyperlink"/>
            <w:color w:val="1F4E79"/>
            <w:u w:val="single"/>
            <w:rFonts w:ascii="Aptos" w:hAnsi="Aptos" w:eastAsia="Noto Serif CJK SC"/>
          </w:rPr>
          <w:t>https://huggingface.co/datasets/MMMU/MMMU</w:t>
        </w:r>
      </w:hyperlink>
    </w:p>
    <w:p>
      <w:pPr>
        <w:pStyle w:val="ListBullet"/>
        <w:spacing w:before="0" w:after="20" w:line="269" w:lineRule="auto"/>
      </w:pPr>
      <w:r>
        <w:rPr>
          <w:rFonts w:ascii="Aptos" w:hAnsi="Aptos" w:eastAsia="Noto Serif CJK SC" w:cs="Aptos"/>
          <w:b/>
          <w:color w:val="282828"/>
          <w:sz w:val="20"/>
        </w:rPr>
        <w:t xml:space="preserve">DocVQA official site: </w:t>
      </w:r>
      <w:hyperlink r:id="rId15">
        <w:r>
          <w:rPr>
            <w:rStyle w:val="Hyperlink"/>
            <w:color w:val="1F4E79"/>
            <w:u w:val="single"/>
            <w:rFonts w:ascii="Aptos" w:hAnsi="Aptos" w:eastAsia="Noto Serif CJK SC"/>
          </w:rPr>
          <w:t>https://www.docvqa.org/</w:t>
        </w:r>
      </w:hyperlink>
    </w:p>
    <w:sectPr w:rsidR="00FC693F" w:rsidRPr="0006063C" w:rsidSect="00034616">
      <w:headerReference w:type="default" r:id="rId9"/>
      <w:footerReference w:type="default" r:id="rId16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 w:cs="Aptos"/>
        <w:color w:val="6E6E6E"/>
        <w:sz w:val="18"/>
      </w:rPr>
      <w:t>Internal discussion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 w:cs="Aptos"/>
        <w:color w:val="6E6E6E"/>
        <w:sz w:val="18"/>
      </w:rPr>
      <w:t>CSC5051 Final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huggingface.co/datasets/pixparse/docvqa-wds" TargetMode="External"/><Relationship Id="rId11" Type="http://schemas.openxmlformats.org/officeDocument/2006/relationships/hyperlink" Target="https://huggingface.co/datasets/HuggingFaceM4/ChartQA" TargetMode="External"/><Relationship Id="rId12" Type="http://schemas.openxmlformats.org/officeDocument/2006/relationships/hyperlink" Target="https://huggingface.co/datasets/TheMrguiller/ScienceQA" TargetMode="External"/><Relationship Id="rId13" Type="http://schemas.openxmlformats.org/officeDocument/2006/relationships/hyperlink" Target="https://scienceqa.github.io/" TargetMode="External"/><Relationship Id="rId14" Type="http://schemas.openxmlformats.org/officeDocument/2006/relationships/hyperlink" Target="https://huggingface.co/datasets/MMMU/MMMU" TargetMode="External"/><Relationship Id="rId15" Type="http://schemas.openxmlformats.org/officeDocument/2006/relationships/hyperlink" Target="https://www.docvqa.org/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