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left"/>
      </w:pPr>
      <w:r>
        <w:rPr>
          <w:rFonts w:ascii="Calibri" w:hAnsi="Calibri"/>
          <w:b/>
          <w:color w:val="1B365D"/>
          <w:sz w:val="52"/>
        </w:rPr>
        <w:t>Training, Evaluation, and Deployment Playbook</w:t>
      </w:r>
    </w:p>
    <w:p>
      <w:pPr>
        <w:pStyle w:val="Subtitle"/>
        <w:jc w:val="left"/>
      </w:pPr>
      <w:r>
        <w:rPr>
          <w:rFonts w:ascii="Calibri" w:hAnsi="Calibri"/>
          <w:color w:val="66707A"/>
          <w:sz w:val="24"/>
        </w:rPr>
        <w:t>How to build, train, validate, and release the platform without tenant training</w:t>
      </w:r>
    </w:p>
    <w:tbl>
      <w:tblPr>
        <w:tblW w:type="auto" w:w="0"/>
        <w:jc w:val="center"/>
        <w:tblLook w:firstColumn="1" w:firstRow="1" w:lastColumn="0" w:lastRow="0" w:noHBand="0" w:noVBand="1" w:val="04A0"/>
      </w:tblPr>
      <w:tblGrid>
        <w:gridCol w:w="9994"/>
      </w:tblGrid>
      <w:tr>
        <w:tc>
          <w:tcPr>
            <w:tcW w:type="dxa" w:w="9994"/>
            <w:shd w:fill="EEF4FB"/>
            <w:tcMar>
              <w:top w:w="120" w:type="dxa"/>
              <w:start w:w="140" w:type="dxa"/>
              <w:bottom w:w="120" w:type="dxa"/>
              <w:end w:w="140" w:type="dxa"/>
            </w:tcMar>
            <w:tcBorders>
              <w:left w:val="single" w:sz="14" w:color="B8C7D9"/>
              <w:top w:val="single" w:sz="6" w:color="B8C7D9"/>
              <w:right w:val="single" w:sz="6" w:color="B8C7D9"/>
              <w:bottom w:val="single" w:sz="6" w:color="B8C7D9"/>
            </w:tcBorders>
          </w:tcPr>
          <w:p>
            <w:r>
              <w:rPr>
                <w:rFonts w:ascii="Calibri" w:hAnsi="Calibri"/>
                <w:color w:val="282828"/>
                <w:sz w:val="20"/>
              </w:rPr>
              <w:t>This playbook defines the training data strategy, annotation policy, model plan, eval suite, release process, and operating model for the system. It treats speaker resolution as a release-gating problem, not a side feature.</w:t>
            </w:r>
          </w:p>
        </w:tc>
      </w:tr>
    </w:tbl>
    <w:p/>
    <w:tbl>
      <w:tblPr>
        <w:tblStyle w:val="TableGrid"/>
        <w:tblW w:type="auto" w:w="0"/>
        <w:jc w:val="left"/>
        <w:tblLook w:firstColumn="1" w:firstRow="1" w:lastColumn="0" w:lastRow="0" w:noHBand="0" w:noVBand="1" w:val="04A0"/>
      </w:tblPr>
      <w:tblGrid>
        <w:gridCol w:w="4997"/>
        <w:gridCol w:w="4997"/>
      </w:tblGrid>
      <w:tr>
        <w:tc>
          <w:tcPr>
            <w:tcW w:type="dxa" w:w="2160"/>
            <w:shd w:fill="EAF0F7"/>
            <w:vAlign w:val="center"/>
            <w:tcMar>
              <w:top w:w="120" w:type="dxa"/>
              <w:start w:w="120" w:type="dxa"/>
              <w:bottom w:w="120" w:type="dxa"/>
              <w:end w:w="120" w:type="dxa"/>
            </w:tcMar>
            <w:tcBorders>
              <w:left w:val="single" w:sz="6" w:color="B8C7D9"/>
              <w:top w:val="single" w:sz="6" w:color="B8C7D9"/>
              <w:right w:val="single" w:sz="6" w:color="B8C7D9"/>
              <w:bottom w:val="single" w:sz="6" w:color="B8C7D9"/>
            </w:tcBorders>
          </w:tcPr>
          <w:p>
            <w:r>
              <w:rPr>
                <w:b/>
                <w:color w:val="1B365D"/>
                <w:sz w:val="20"/>
              </w:rPr>
              <w:t>Version</w:t>
            </w:r>
          </w:p>
        </w:tc>
        <w:tc>
          <w:tcPr>
            <w:tcW w:type="dxa" w:w="6912"/>
            <w:shd w:fill="FFFFFF"/>
            <w:vAlign w:val="center"/>
            <w:tcMar>
              <w:top w:w="120" w:type="dxa"/>
              <w:start w:w="120" w:type="dxa"/>
              <w:bottom w:w="120" w:type="dxa"/>
              <w:end w:w="120" w:type="dxa"/>
            </w:tcMar>
            <w:tcBorders>
              <w:left w:val="single" w:sz="6" w:color="B8C7D9"/>
              <w:top w:val="single" w:sz="6" w:color="B8C7D9"/>
              <w:right w:val="single" w:sz="6" w:color="B8C7D9"/>
              <w:bottom w:val="single" w:sz="6" w:color="B8C7D9"/>
            </w:tcBorders>
          </w:tcPr>
          <w:p>
            <w:r>
              <w:rPr>
                <w:color w:val="282828"/>
                <w:sz w:val="20"/>
              </w:rPr>
              <w:t>v1.0 (draft)</w:t>
            </w:r>
          </w:p>
        </w:tc>
      </w:tr>
      <w:tr>
        <w:tc>
          <w:tcPr>
            <w:tcW w:type="dxa" w:w="2160"/>
            <w:shd w:fill="EAF0F7"/>
            <w:vAlign w:val="center"/>
            <w:tcMar>
              <w:top w:w="120" w:type="dxa"/>
              <w:start w:w="120" w:type="dxa"/>
              <w:bottom w:w="120" w:type="dxa"/>
              <w:end w:w="120" w:type="dxa"/>
            </w:tcMar>
            <w:tcBorders>
              <w:left w:val="single" w:sz="6" w:color="B8C7D9"/>
              <w:top w:val="single" w:sz="6" w:color="B8C7D9"/>
              <w:right w:val="single" w:sz="6" w:color="B8C7D9"/>
              <w:bottom w:val="single" w:sz="6" w:color="B8C7D9"/>
            </w:tcBorders>
          </w:tcPr>
          <w:p>
            <w:r>
              <w:rPr>
                <w:b/>
                <w:color w:val="1B365D"/>
                <w:sz w:val="20"/>
              </w:rPr>
              <w:t>Date</w:t>
            </w:r>
          </w:p>
        </w:tc>
        <w:tc>
          <w:tcPr>
            <w:tcW w:type="dxa" w:w="6912"/>
            <w:shd w:fill="FFFFFF"/>
            <w:vAlign w:val="center"/>
            <w:tcMar>
              <w:top w:w="120" w:type="dxa"/>
              <w:start w:w="120" w:type="dxa"/>
              <w:bottom w:w="120" w:type="dxa"/>
              <w:end w:w="120" w:type="dxa"/>
            </w:tcMar>
            <w:tcBorders>
              <w:left w:val="single" w:sz="6" w:color="B8C7D9"/>
              <w:top w:val="single" w:sz="6" w:color="B8C7D9"/>
              <w:right w:val="single" w:sz="6" w:color="B8C7D9"/>
              <w:bottom w:val="single" w:sz="6" w:color="B8C7D9"/>
            </w:tcBorders>
          </w:tcPr>
          <w:p>
            <w:r>
              <w:rPr>
                <w:color w:val="282828"/>
                <w:sz w:val="20"/>
              </w:rPr>
              <w:t>March 27, 2026</w:t>
            </w:r>
          </w:p>
        </w:tc>
      </w:tr>
      <w:tr>
        <w:tc>
          <w:tcPr>
            <w:tcW w:type="dxa" w:w="2160"/>
            <w:shd w:fill="EAF0F7"/>
            <w:vAlign w:val="center"/>
            <w:tcMar>
              <w:top w:w="120" w:type="dxa"/>
              <w:start w:w="120" w:type="dxa"/>
              <w:bottom w:w="120" w:type="dxa"/>
              <w:end w:w="120" w:type="dxa"/>
            </w:tcMar>
            <w:tcBorders>
              <w:left w:val="single" w:sz="6" w:color="B8C7D9"/>
              <w:top w:val="single" w:sz="6" w:color="B8C7D9"/>
              <w:right w:val="single" w:sz="6" w:color="B8C7D9"/>
              <w:bottom w:val="single" w:sz="6" w:color="B8C7D9"/>
            </w:tcBorders>
          </w:tcPr>
          <w:p>
            <w:r>
              <w:rPr>
                <w:b/>
                <w:color w:val="1B365D"/>
                <w:sz w:val="20"/>
              </w:rPr>
              <w:t>Primary objective</w:t>
            </w:r>
          </w:p>
        </w:tc>
        <w:tc>
          <w:tcPr>
            <w:tcW w:type="dxa" w:w="6912"/>
            <w:shd w:fill="FFFFFF"/>
            <w:vAlign w:val="center"/>
            <w:tcMar>
              <w:top w:w="120" w:type="dxa"/>
              <w:start w:w="120" w:type="dxa"/>
              <w:bottom w:w="120" w:type="dxa"/>
              <w:end w:w="120" w:type="dxa"/>
            </w:tcMar>
            <w:tcBorders>
              <w:left w:val="single" w:sz="6" w:color="B8C7D9"/>
              <w:top w:val="single" w:sz="6" w:color="B8C7D9"/>
              <w:right w:val="single" w:sz="6" w:color="B8C7D9"/>
              <w:bottom w:val="single" w:sz="6" w:color="B8C7D9"/>
            </w:tcBorders>
          </w:tcPr>
          <w:p>
            <w:r>
              <w:rPr>
                <w:color w:val="282828"/>
                <w:sz w:val="20"/>
              </w:rPr>
              <w:t>Best-in-class text transcript intelligence with strict speaker-aware scoring</w:t>
            </w:r>
          </w:p>
        </w:tc>
      </w:tr>
      <w:tr>
        <w:tc>
          <w:tcPr>
            <w:tcW w:type="dxa" w:w="2160"/>
            <w:shd w:fill="EAF0F7"/>
            <w:vAlign w:val="center"/>
            <w:tcMar>
              <w:top w:w="120" w:type="dxa"/>
              <w:start w:w="120" w:type="dxa"/>
              <w:bottom w:w="120" w:type="dxa"/>
              <w:end w:w="120" w:type="dxa"/>
            </w:tcMar>
            <w:tcBorders>
              <w:left w:val="single" w:sz="6" w:color="B8C7D9"/>
              <w:top w:val="single" w:sz="6" w:color="B8C7D9"/>
              <w:right w:val="single" w:sz="6" w:color="B8C7D9"/>
              <w:bottom w:val="single" w:sz="6" w:color="B8C7D9"/>
            </w:tcBorders>
          </w:tcPr>
          <w:p>
            <w:r>
              <w:rPr>
                <w:b/>
                <w:color w:val="1B365D"/>
                <w:sz w:val="20"/>
              </w:rPr>
              <w:t>Training rule</w:t>
            </w:r>
          </w:p>
        </w:tc>
        <w:tc>
          <w:tcPr>
            <w:tcW w:type="dxa" w:w="6912"/>
            <w:shd w:fill="FFFFFF"/>
            <w:vAlign w:val="center"/>
            <w:tcMar>
              <w:top w:w="120" w:type="dxa"/>
              <w:start w:w="120" w:type="dxa"/>
              <w:bottom w:w="120" w:type="dxa"/>
              <w:end w:w="120" w:type="dxa"/>
            </w:tcMar>
            <w:tcBorders>
              <w:left w:val="single" w:sz="6" w:color="B8C7D9"/>
              <w:top w:val="single" w:sz="6" w:color="B8C7D9"/>
              <w:right w:val="single" w:sz="6" w:color="B8C7D9"/>
              <w:bottom w:val="single" w:sz="6" w:color="B8C7D9"/>
            </w:tcBorders>
          </w:tcPr>
          <w:p>
            <w:r>
              <w:rPr>
                <w:color w:val="282828"/>
                <w:sz w:val="20"/>
              </w:rPr>
              <w:t>Use public or shared non-tenant data only; tenant adaptation happens via packs at runtime</w:t>
            </w:r>
          </w:p>
        </w:tc>
      </w:tr>
    </w:tbl>
    <w:p/>
    <w:tbl>
      <w:tblPr>
        <w:tblW w:type="auto" w:w="0"/>
        <w:jc w:val="center"/>
        <w:tblLook w:firstColumn="1" w:firstRow="1" w:lastColumn="0" w:lastRow="0" w:noHBand="0" w:noVBand="1" w:val="04A0"/>
      </w:tblPr>
      <w:tblGrid>
        <w:gridCol w:w="9994"/>
      </w:tblGrid>
      <w:tr>
        <w:tc>
          <w:tcPr>
            <w:tcW w:type="dxa" w:w="9994"/>
            <w:shd w:fill="FBFCFE"/>
            <w:tcMar>
              <w:top w:w="120" w:type="dxa"/>
              <w:start w:w="140" w:type="dxa"/>
              <w:bottom w:w="120" w:type="dxa"/>
              <w:end w:w="140" w:type="dxa"/>
            </w:tcMar>
            <w:tcBorders>
              <w:left w:val="single" w:sz="10" w:color="B8C7D9"/>
              <w:top w:val="single" w:sz="10" w:color="B8C7D9"/>
              <w:right w:val="single" w:sz="10" w:color="B8C7D9"/>
              <w:bottom w:val="single" w:sz="10" w:color="B8C7D9"/>
            </w:tcBorders>
          </w:tcPr>
          <w:p>
            <w:r>
              <w:rPr>
                <w:b/>
                <w:color w:val="1B365D"/>
                <w:sz w:val="22"/>
              </w:rPr>
              <w:t>Contents</w:t>
            </w:r>
          </w:p>
          <w:p>
            <w:pPr>
              <w:pStyle w:val="ListBullet"/>
            </w:pPr>
            <w:r>
              <w:rPr>
                <w:rFonts w:ascii="Calibri" w:hAnsi="Calibri"/>
                <w:color w:val="282828"/>
                <w:sz w:val="20"/>
              </w:rPr>
              <w:t>1. Build philosophy and data strategy</w:t>
            </w:r>
          </w:p>
          <w:p>
            <w:pPr>
              <w:pStyle w:val="ListBullet"/>
            </w:pPr>
            <w:r>
              <w:rPr>
                <w:rFonts w:ascii="Calibri" w:hAnsi="Calibri"/>
                <w:color w:val="282828"/>
                <w:sz w:val="20"/>
              </w:rPr>
              <w:t>2. Canonical ontology and annotation policy</w:t>
            </w:r>
          </w:p>
          <w:p>
            <w:pPr>
              <w:pStyle w:val="ListBullet"/>
            </w:pPr>
            <w:r>
              <w:rPr>
                <w:rFonts w:ascii="Calibri" w:hAnsi="Calibri"/>
                <w:color w:val="282828"/>
                <w:sz w:val="20"/>
              </w:rPr>
              <w:t>3. Model training roadmap</w:t>
            </w:r>
          </w:p>
          <w:p>
            <w:pPr>
              <w:pStyle w:val="ListBullet"/>
            </w:pPr>
            <w:r>
              <w:rPr>
                <w:rFonts w:ascii="Calibri" w:hAnsi="Calibri"/>
                <w:color w:val="282828"/>
                <w:sz w:val="20"/>
              </w:rPr>
              <w:t>4. Evals, regression, and release management</w:t>
            </w:r>
          </w:p>
          <w:p>
            <w:pPr>
              <w:pStyle w:val="ListBullet"/>
            </w:pPr>
            <w:r>
              <w:rPr>
                <w:rFonts w:ascii="Calibri" w:hAnsi="Calibri"/>
                <w:color w:val="282828"/>
                <w:sz w:val="20"/>
              </w:rPr>
              <w:t>5. Deployment and operations</w:t>
            </w:r>
          </w:p>
        </w:tc>
      </w:tr>
    </w:tbl>
    <w:p/>
    <w:p>
      <w:pPr>
        <w:pStyle w:val="Heading1"/>
        <w:keepNext/>
      </w:pPr>
      <w:r>
        <w:rPr>
          <w:rFonts w:ascii="Calibri" w:hAnsi="Calibri"/>
          <w:b/>
          <w:color w:val="1B365D"/>
          <w:sz w:val="34"/>
        </w:rPr>
        <w:t>1. Build philosophy</w:t>
      </w:r>
    </w:p>
    <w:p>
      <w:pPr>
        <w:spacing w:after="120" w:line="276" w:lineRule="auto"/>
      </w:pPr>
      <w:r>
        <w:rPr>
          <w:rFonts w:ascii="Calibri" w:hAnsi="Calibri"/>
          <w:color w:val="282828"/>
          <w:sz w:val="21"/>
        </w:rPr>
        <w:t>The core training rule is simple: shared models may train on public, licensed, or explicitly shared non-tenant data, but never on tenant transcripts or tenant documents. Tenant adaptation is achieved through tenant packs, policy digests, label mappings, and runtime retrieval. This keeps the shared model layer reusable, simplifies legal and security review, and makes fleet-wide regression testing feasible.</w:t>
      </w:r>
    </w:p>
    <w:p>
      <w:pPr>
        <w:spacing w:after="120" w:line="276" w:lineRule="auto"/>
      </w:pPr>
      <w:r>
        <w:rPr>
          <w:rFonts w:ascii="Calibri" w:hAnsi="Calibri"/>
          <w:color w:val="282828"/>
          <w:sz w:val="21"/>
        </w:rPr>
        <w:t>The second core rule is that speaker resolution is a first-order target. If the system cannot reliably distinguish END_USER from AGENT, ADMIN, SYSTEM, or BOT, then sentiment and key-moment quality metrics become misleading. For that reason, speaker resolution has its own dataset strategy, annotation policy, and release thresholds.</w:t>
      </w:r>
    </w:p>
    <w:p>
      <w:pPr>
        <w:pStyle w:val="Heading1"/>
        <w:keepNext/>
      </w:pPr>
      <w:r>
        <w:rPr>
          <w:rFonts w:ascii="Calibri" w:hAnsi="Calibri"/>
          <w:b/>
          <w:color w:val="1B365D"/>
          <w:sz w:val="34"/>
        </w:rPr>
        <w:t>2. Public-data strategy</w:t>
      </w:r>
    </w:p>
    <w:p>
      <w:pPr>
        <w:spacing w:after="120" w:line="276" w:lineRule="auto"/>
      </w:pPr>
      <w:r>
        <w:rPr>
          <w:rFonts w:ascii="Calibri" w:hAnsi="Calibri"/>
          <w:color w:val="282828"/>
          <w:sz w:val="21"/>
        </w:rPr>
        <w:t>No single public corpus is sufficient. The recommended strategy is to build an open-core training mixture from complementary public datasets: workflow-rich customer-service dialogue, role-annotated task dialogue, document-grounded dialogue, generic sentiment, flip-trigger datasets, and sarcasm datasets. Use commercial-friendly datasets for the default public package and keep non-commercial corpora in a research-only track.</w:t>
      </w:r>
    </w:p>
    <w:tbl>
      <w:tblPr>
        <w:tblStyle w:val="TableGrid"/>
        <w:tblW w:type="auto" w:w="0"/>
        <w:jc w:val="center"/>
        <w:tblLook w:firstColumn="1" w:firstRow="1" w:lastColumn="0" w:lastRow="0" w:noHBand="0" w:noVBand="1" w:val="04A0"/>
      </w:tblPr>
      <w:tblGrid>
        <w:gridCol w:w="3331"/>
        <w:gridCol w:w="3331"/>
        <w:gridCol w:w="3331"/>
      </w:tblGrid>
      <w:tr>
        <w:tc>
          <w:tcPr>
            <w:tcW w:type="dxa" w:w="1944"/>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19"/>
              </w:rPr>
              <w:t>Dataset</w:t>
            </w:r>
          </w:p>
        </w:tc>
        <w:tc>
          <w:tcPr>
            <w:tcW w:type="dxa" w:w="5688"/>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19"/>
              </w:rPr>
              <w:t>Use in this system</w:t>
            </w:r>
          </w:p>
        </w:tc>
        <w:tc>
          <w:tcPr>
            <w:tcW w:type="dxa" w:w="1944"/>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19"/>
              </w:rPr>
              <w:t>Commercial fit</w:t>
            </w:r>
          </w:p>
        </w:tc>
      </w:tr>
      <w:tr>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8"/>
              </w:rPr>
              <w:t>ABCD</w:t>
            </w:r>
          </w:p>
        </w:tc>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8"/>
              </w:rPr>
              <w:t>Customer-service workflows, policy/action structure, multi-step support behavior, role-aware dialogue.</w:t>
            </w:r>
          </w:p>
        </w:tc>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8"/>
              </w:rPr>
              <w:t>Good for open-core (MIT)</w:t>
            </w:r>
          </w:p>
        </w:tc>
      </w:tr>
      <w:tr>
        <w:tc>
          <w:tcPr>
            <w:tcW w:type="dxa" w:w="3331"/>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8"/>
              </w:rPr>
              <w:t>Taskmaster</w:t>
            </w:r>
          </w:p>
        </w:tc>
        <w:tc>
          <w:tcPr>
            <w:tcW w:type="dxa" w:w="3331"/>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8"/>
              </w:rPr>
              <w:t>Role-annotated spoken/written task dialogue; useful for speaker-role modeling and workflow phrasing.</w:t>
            </w:r>
          </w:p>
        </w:tc>
        <w:tc>
          <w:tcPr>
            <w:tcW w:type="dxa" w:w="3331"/>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8"/>
              </w:rPr>
              <w:t>Generally usable under CC BY 4.0</w:t>
            </w:r>
          </w:p>
        </w:tc>
      </w:tr>
      <w:tr>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8"/>
              </w:rPr>
              <w:t>Doc2Dial / MultiDoc2Dial</w:t>
            </w:r>
          </w:p>
        </w:tc>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8"/>
              </w:rPr>
              <w:t>Speaker role + dialogue acts + document grounding; useful for policy and knowledge linkage.</w:t>
            </w:r>
          </w:p>
        </w:tc>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8"/>
              </w:rPr>
              <w:t>Good for open-core (Apache-2.0 repos)</w:t>
            </w:r>
          </w:p>
        </w:tc>
      </w:tr>
      <w:tr>
        <w:tc>
          <w:tcPr>
            <w:tcW w:type="dxa" w:w="3331"/>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8"/>
              </w:rPr>
              <w:t>DynaSent</w:t>
            </w:r>
          </w:p>
        </w:tc>
        <w:tc>
          <w:tcPr>
            <w:tcW w:type="dxa" w:w="3331"/>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8"/>
              </w:rPr>
              <w:t>Generic sentiment stabilization for polarity and hard negative/neutral boundaries.</w:t>
            </w:r>
          </w:p>
        </w:tc>
        <w:tc>
          <w:tcPr>
            <w:tcW w:type="dxa" w:w="3331"/>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8"/>
              </w:rPr>
              <w:t>Good for open-core (CC BY 4.0)</w:t>
            </w:r>
          </w:p>
        </w:tc>
      </w:tr>
      <w:tr>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8"/>
              </w:rPr>
              <w:t>EDiReF / MELD-FR</w:t>
            </w:r>
          </w:p>
        </w:tc>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8"/>
              </w:rPr>
              <w:t>Trigger or rationale supervision for emotion or sentiment shifts, helpful for key-moment logic.</w:t>
            </w:r>
          </w:p>
        </w:tc>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8"/>
              </w:rPr>
              <w:t>Research-oriented but useful</w:t>
            </w:r>
          </w:p>
        </w:tc>
      </w:tr>
      <w:tr>
        <w:tc>
          <w:tcPr>
            <w:tcW w:type="dxa" w:w="3331"/>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8"/>
              </w:rPr>
              <w:t>SARC</w:t>
            </w:r>
          </w:p>
        </w:tc>
        <w:tc>
          <w:tcPr>
            <w:tcW w:type="dxa" w:w="3331"/>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8"/>
              </w:rPr>
              <w:t>Auxiliary sarcasm/inversion training from contextual text.</w:t>
            </w:r>
          </w:p>
        </w:tc>
        <w:tc>
          <w:tcPr>
            <w:tcW w:type="dxa" w:w="3331"/>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8"/>
              </w:rPr>
              <w:t>Usable as auxiliary research data</w:t>
            </w:r>
          </w:p>
        </w:tc>
      </w:tr>
      <w:tr>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8"/>
              </w:rPr>
              <w:t>CallCenterEN</w:t>
            </w:r>
          </w:p>
        </w:tc>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8"/>
              </w:rPr>
              <w:t>Closest public fit to real call-center transcripts, but non-commercial research only.</w:t>
            </w:r>
          </w:p>
        </w:tc>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8"/>
              </w:rPr>
              <w:t>Research-only (CC BY-NC 4.0)</w:t>
            </w:r>
          </w:p>
        </w:tc>
      </w:tr>
    </w:tbl>
    <w:p/>
    <w:tbl>
      <w:tblPr>
        <w:tblW w:type="auto" w:w="0"/>
        <w:jc w:val="center"/>
        <w:tblLook w:firstColumn="1" w:firstRow="1" w:lastColumn="0" w:lastRow="0" w:noHBand="0" w:noVBand="1" w:val="04A0"/>
      </w:tblPr>
      <w:tblGrid>
        <w:gridCol w:w="9994"/>
      </w:tblGrid>
      <w:tr>
        <w:tc>
          <w:tcPr>
            <w:tcW w:type="dxa" w:w="9994"/>
            <w:shd w:fill="FFF6E5"/>
            <w:tcMar>
              <w:top w:w="120" w:type="dxa"/>
              <w:start w:w="140" w:type="dxa"/>
              <w:bottom w:w="120" w:type="dxa"/>
              <w:end w:w="140" w:type="dxa"/>
            </w:tcMar>
            <w:tcBorders>
              <w:left w:val="single" w:sz="14" w:color="E0C36D"/>
              <w:top w:val="single" w:sz="6" w:color="E0C36D"/>
              <w:right w:val="single" w:sz="6" w:color="E0C36D"/>
              <w:bottom w:val="single" w:sz="6" w:color="E0C36D"/>
            </w:tcBorders>
          </w:tcPr>
          <w:p>
            <w:r>
              <w:rPr>
                <w:rFonts w:ascii="Calibri" w:hAnsi="Calibri"/>
                <w:b/>
                <w:color w:val="282828"/>
                <w:sz w:val="20"/>
              </w:rPr>
              <w:t>Open-core packaging policy</w:t>
            </w:r>
          </w:p>
          <w:p>
            <w:pPr/>
            <w:r>
              <w:rPr>
                <w:rFonts w:ascii="Calibri" w:hAnsi="Calibri"/>
                <w:color w:val="282828"/>
                <w:sz w:val="20"/>
              </w:rPr>
              <w:t>Default product checkpoints should be trained only on the commercial-friendly subset. Maintain a separate research profile if CallCenterEN or other non-commercial data is used for benchmarking or experimentation.</w:t>
            </w:r>
          </w:p>
        </w:tc>
      </w:tr>
    </w:tbl>
    <w:p/>
    <w:p>
      <w:pPr>
        <w:pStyle w:val="Heading1"/>
        <w:keepNext/>
      </w:pPr>
      <w:r>
        <w:rPr>
          <w:rFonts w:ascii="Calibri" w:hAnsi="Calibri"/>
          <w:b/>
          <w:color w:val="1B365D"/>
          <w:sz w:val="34"/>
        </w:rPr>
        <w:t>3. Canonical ontology</w:t>
      </w:r>
    </w:p>
    <w:p>
      <w:pPr>
        <w:spacing w:after="120" w:line="276" w:lineRule="auto"/>
      </w:pPr>
      <w:r>
        <w:rPr>
          <w:rFonts w:ascii="Calibri" w:hAnsi="Calibri"/>
          <w:color w:val="282828"/>
          <w:sz w:val="21"/>
        </w:rPr>
        <w:t>The model layer should not predict tenant labels directly. It should predict canonical roles, canonical aspects, canonical events, and canonical key moments. Tenant mapping happens later. This reduces label explosion and makes evaluation reusable across tenants.</w:t>
      </w:r>
    </w:p>
    <w:tbl>
      <w:tblPr>
        <w:tblStyle w:val="TableGrid"/>
        <w:tblW w:type="auto" w:w="0"/>
        <w:jc w:val="center"/>
        <w:tblLook w:firstColumn="1" w:firstRow="1" w:lastColumn="0" w:lastRow="0" w:noHBand="0" w:noVBand="1" w:val="04A0"/>
      </w:tblPr>
      <w:tblGrid>
        <w:gridCol w:w="4997"/>
        <w:gridCol w:w="4997"/>
      </w:tblGrid>
      <w:tr>
        <w:tc>
          <w:tcPr>
            <w:tcW w:type="dxa" w:w="2160"/>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20"/>
              </w:rPr>
              <w:t>Ontology family</w:t>
            </w:r>
          </w:p>
        </w:tc>
        <w:tc>
          <w:tcPr>
            <w:tcW w:type="dxa" w:w="7056"/>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20"/>
              </w:rPr>
              <w:t>Examples</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9"/>
              </w:rPr>
              <w:t>Roles</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END_USER, AGENT, SUPERVISOR, ADMIN, SYSTEM, BOT, UNKNOWN</w:t>
            </w:r>
          </w:p>
        </w:tc>
      </w:tr>
      <w:tr>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9"/>
              </w:rPr>
              <w:t>Sentiment targets</w:t>
            </w:r>
          </w:p>
        </w:tc>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product, policy, price, service quality, speed, resolution, trust</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9"/>
              </w:rPr>
              <w:t>Events</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policy_conflict, escalation_trigger, buying_signal, objection, promise_to_pay, hardship_signal, resolution_commitment</w:t>
            </w:r>
          </w:p>
        </w:tc>
      </w:tr>
      <w:tr>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9"/>
              </w:rPr>
              <w:t>Key moments</w:t>
            </w:r>
          </w:p>
        </w:tc>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negative onset, sentiment flip, blocker discovery, supervisor request, customer commitment, churn-risk signal</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9"/>
              </w:rPr>
              <w:t>Review states</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verified, uncertain, needs_review</w:t>
            </w:r>
          </w:p>
        </w:tc>
      </w:tr>
    </w:tbl>
    <w:p/>
    <w:p>
      <w:pPr>
        <w:pStyle w:val="Heading1"/>
        <w:keepNext/>
      </w:pPr>
      <w:r>
        <w:rPr>
          <w:rFonts w:ascii="Calibri" w:hAnsi="Calibri"/>
          <w:b/>
          <w:color w:val="1B365D"/>
          <w:sz w:val="34"/>
        </w:rPr>
        <w:t>4. Annotation policy</w:t>
      </w:r>
    </w:p>
    <w:p>
      <w:pPr>
        <w:pStyle w:val="Heading2"/>
        <w:keepNext/>
      </w:pPr>
      <w:r>
        <w:rPr>
          <w:rFonts w:ascii="Calibri" w:hAnsi="Calibri"/>
          <w:b/>
          <w:color w:val="32557F"/>
          <w:sz w:val="25"/>
        </w:rPr>
        <w:t>4.1 Speaker labeling policy</w:t>
      </w:r>
    </w:p>
    <w:p>
      <w:pPr>
        <w:pStyle w:val="ListBullet"/>
        <w:spacing w:after="40"/>
        <w:ind w:left="0"/>
      </w:pPr>
      <w:r>
        <w:rPr>
          <w:rFonts w:ascii="Calibri" w:hAnsi="Calibri"/>
          <w:color w:val="282828"/>
          <w:sz w:val="21"/>
        </w:rPr>
        <w:t>Every turn must receive one canonical role label.</w:t>
      </w:r>
    </w:p>
    <w:p>
      <w:pPr>
        <w:pStyle w:val="ListBullet"/>
        <w:spacing w:after="40"/>
        <w:ind w:left="0"/>
      </w:pPr>
      <w:r>
        <w:rPr>
          <w:rFonts w:ascii="Calibri" w:hAnsi="Calibri"/>
          <w:color w:val="282828"/>
          <w:sz w:val="21"/>
        </w:rPr>
        <w:t>Annotators should use metadata first, transcript markers second, and text cues third.</w:t>
      </w:r>
    </w:p>
    <w:p>
      <w:pPr>
        <w:pStyle w:val="ListBullet"/>
        <w:spacing w:after="40"/>
        <w:ind w:left="0"/>
      </w:pPr>
      <w:r>
        <w:rPr>
          <w:rFonts w:ascii="Calibri" w:hAnsi="Calibri"/>
          <w:color w:val="282828"/>
          <w:sz w:val="21"/>
        </w:rPr>
        <w:t>If a turn cannot be confidently attributed, label UNKNOWN rather than guessing.</w:t>
      </w:r>
    </w:p>
    <w:p>
      <w:pPr>
        <w:pStyle w:val="ListBullet"/>
        <w:spacing w:after="40"/>
        <w:ind w:left="0"/>
      </w:pPr>
      <w:r>
        <w:rPr>
          <w:rFonts w:ascii="Calibri" w:hAnsi="Calibri"/>
          <w:color w:val="282828"/>
          <w:sz w:val="21"/>
        </w:rPr>
        <w:t>Internal notes, macros, admin inserts, and platform events must never be labeled END_USER.</w:t>
      </w:r>
    </w:p>
    <w:p>
      <w:pPr>
        <w:pStyle w:val="Heading2"/>
        <w:keepNext/>
      </w:pPr>
      <w:r>
        <w:rPr>
          <w:rFonts w:ascii="Calibri" w:hAnsi="Calibri"/>
          <w:b/>
          <w:color w:val="32557F"/>
          <w:sz w:val="25"/>
        </w:rPr>
        <w:t>4.2 Sentiment labeling policy</w:t>
      </w:r>
    </w:p>
    <w:p>
      <w:pPr>
        <w:pStyle w:val="ListBullet"/>
        <w:spacing w:after="40"/>
        <w:ind w:left="0"/>
      </w:pPr>
      <w:r>
        <w:rPr>
          <w:rFonts w:ascii="Calibri" w:hAnsi="Calibri"/>
          <w:color w:val="282828"/>
          <w:sz w:val="21"/>
        </w:rPr>
        <w:t>Label sentiment only for END_USER-eligible turns when creating the customer-sentiment gold set.</w:t>
      </w:r>
    </w:p>
    <w:p>
      <w:pPr>
        <w:pStyle w:val="ListBullet"/>
        <w:spacing w:after="40"/>
        <w:ind w:left="0"/>
      </w:pPr>
      <w:r>
        <w:rPr>
          <w:rFonts w:ascii="Calibri" w:hAnsi="Calibri"/>
          <w:color w:val="282828"/>
          <w:sz w:val="21"/>
        </w:rPr>
        <w:t>Capture target or aspect whenever possible; sentence-level polarity alone is insufficient.</w:t>
      </w:r>
    </w:p>
    <w:p>
      <w:pPr>
        <w:pStyle w:val="ListBullet"/>
        <w:spacing w:after="40"/>
        <w:ind w:left="0"/>
      </w:pPr>
      <w:r>
        <w:rPr>
          <w:rFonts w:ascii="Calibri" w:hAnsi="Calibri"/>
          <w:color w:val="282828"/>
          <w:sz w:val="21"/>
        </w:rPr>
        <w:t>Store both literal and intended sentiment when sarcasm or inversion is plausible.</w:t>
      </w:r>
    </w:p>
    <w:p>
      <w:pPr>
        <w:pStyle w:val="ListBullet"/>
        <w:spacing w:after="40"/>
        <w:ind w:left="0"/>
      </w:pPr>
      <w:r>
        <w:rPr>
          <w:rFonts w:ascii="Calibri" w:hAnsi="Calibri"/>
          <w:color w:val="282828"/>
          <w:sz w:val="21"/>
        </w:rPr>
        <w:t>Annotate evidence spans that justify the label.</w:t>
      </w:r>
    </w:p>
    <w:p>
      <w:pPr>
        <w:pStyle w:val="Heading2"/>
        <w:keepNext/>
      </w:pPr>
      <w:r>
        <w:rPr>
          <w:rFonts w:ascii="Calibri" w:hAnsi="Calibri"/>
          <w:b/>
          <w:color w:val="32557F"/>
          <w:sz w:val="25"/>
        </w:rPr>
        <w:t>4.3 Key-moment labeling policy</w:t>
      </w:r>
    </w:p>
    <w:p>
      <w:pPr>
        <w:pStyle w:val="ListBullet"/>
        <w:spacing w:after="40"/>
        <w:ind w:left="0"/>
      </w:pPr>
      <w:r>
        <w:rPr>
          <w:rFonts w:ascii="Calibri" w:hAnsi="Calibri"/>
          <w:color w:val="282828"/>
          <w:sz w:val="21"/>
        </w:rPr>
        <w:t>A key moment must have an actor, type, trigger rationale, and evidence span.</w:t>
      </w:r>
    </w:p>
    <w:p>
      <w:pPr>
        <w:pStyle w:val="ListBullet"/>
        <w:spacing w:after="40"/>
        <w:ind w:left="0"/>
      </w:pPr>
      <w:r>
        <w:rPr>
          <w:rFonts w:ascii="Calibri" w:hAnsi="Calibri"/>
          <w:color w:val="282828"/>
          <w:sz w:val="21"/>
        </w:rPr>
        <w:t>Primary end-user key moments must be triggered by END_USER evidence unless the annotation task explicitly defines a system-eligible event.</w:t>
      </w:r>
    </w:p>
    <w:p>
      <w:pPr>
        <w:pStyle w:val="ListBullet"/>
        <w:spacing w:after="40"/>
        <w:ind w:left="0"/>
      </w:pPr>
      <w:r>
        <w:rPr>
          <w:rFonts w:ascii="Calibri" w:hAnsi="Calibri"/>
          <w:color w:val="282828"/>
          <w:sz w:val="21"/>
        </w:rPr>
        <w:t>When a moment depends on context, annotate both the decisive span and the supporting historical span if needed.</w:t>
      </w:r>
    </w:p>
    <w:p>
      <w:pPr>
        <w:pStyle w:val="Heading1"/>
        <w:keepNext/>
      </w:pPr>
      <w:r>
        <w:rPr>
          <w:rFonts w:ascii="Calibri" w:hAnsi="Calibri"/>
          <w:b/>
          <w:color w:val="1B365D"/>
          <w:sz w:val="34"/>
        </w:rPr>
        <w:t>5. Model roadmap</w:t>
      </w:r>
    </w:p>
    <w:p>
      <w:pPr>
        <w:pStyle w:val="Heading2"/>
        <w:keepNext/>
      </w:pPr>
      <w:r>
        <w:rPr>
          <w:rFonts w:ascii="Calibri" w:hAnsi="Calibri"/>
          <w:b/>
          <w:color w:val="32557F"/>
          <w:sz w:val="25"/>
        </w:rPr>
        <w:t>5.1 Stage A - speaker resolver</w:t>
      </w:r>
    </w:p>
    <w:p>
      <w:pPr>
        <w:spacing w:after="120" w:line="276" w:lineRule="auto"/>
      </w:pPr>
      <w:r>
        <w:rPr>
          <w:rFonts w:ascii="Calibri" w:hAnsi="Calibri"/>
          <w:color w:val="282828"/>
          <w:sz w:val="21"/>
        </w:rPr>
        <w:t>Train a small role classifier that uses speaker label text, surrounding turns, channel metadata, and tenant-independent lexical cues. Treat it as a ranking model sitting behind deterministic rules, not a replacement for metadata. Build synthetic corruptions that inject admin notes, renamed speakers, mislabeled customer turns, and mixed transcript styles.</w:t>
      </w:r>
    </w:p>
    <w:p>
      <w:pPr>
        <w:pStyle w:val="Heading2"/>
        <w:keepNext/>
      </w:pPr>
      <w:r>
        <w:rPr>
          <w:rFonts w:ascii="Calibri" w:hAnsi="Calibri"/>
          <w:b/>
          <w:color w:val="32557F"/>
          <w:sz w:val="25"/>
        </w:rPr>
        <w:t>5.2 Stage B - fast sentiment and event models</w:t>
      </w:r>
    </w:p>
    <w:p>
      <w:pPr>
        <w:spacing w:after="120" w:line="276" w:lineRule="auto"/>
      </w:pPr>
      <w:r>
        <w:rPr>
          <w:rFonts w:ascii="Calibri" w:hAnsi="Calibri"/>
          <w:color w:val="282828"/>
          <w:sz w:val="21"/>
        </w:rPr>
        <w:t>Train shared text models to propose aspect targets, polarity, intensity, event candidates, and sarcasm/inversion signals. Favor compact models with good calibration. Use multi-task learning where it helps, but keep output heads logically separate so you can diagnose failures. These models should be good enough to handle most calls cheaply.</w:t>
      </w:r>
    </w:p>
    <w:p>
      <w:pPr>
        <w:pStyle w:val="Heading2"/>
        <w:keepNext/>
      </w:pPr>
      <w:r>
        <w:rPr>
          <w:rFonts w:ascii="Calibri" w:hAnsi="Calibri"/>
          <w:b/>
          <w:color w:val="32557F"/>
          <w:sz w:val="25"/>
        </w:rPr>
        <w:t>5.3 Stage C - key-moment trigger model</w:t>
      </w:r>
    </w:p>
    <w:p>
      <w:pPr>
        <w:spacing w:after="120" w:line="276" w:lineRule="auto"/>
      </w:pPr>
      <w:r>
        <w:rPr>
          <w:rFonts w:ascii="Calibri" w:hAnsi="Calibri"/>
          <w:color w:val="282828"/>
          <w:sz w:val="21"/>
        </w:rPr>
        <w:t>Train a trigger or span model to propose key-moment boundaries and likely event types. Use datasets with role annotations and flip-trigger supervision where available. Supplement with synthetic conversations that include broken promises, price objections, internal admin notes, and sarcastic user reactions.</w:t>
      </w:r>
    </w:p>
    <w:p>
      <w:pPr>
        <w:pStyle w:val="Heading2"/>
        <w:keepNext/>
      </w:pPr>
      <w:r>
        <w:rPr>
          <w:rFonts w:ascii="Calibri" w:hAnsi="Calibri"/>
          <w:b/>
          <w:color w:val="32557F"/>
          <w:sz w:val="25"/>
        </w:rPr>
        <w:t>5.4 Stage D - deep adjudication and structured extraction</w:t>
      </w:r>
    </w:p>
    <w:p>
      <w:pPr>
        <w:spacing w:after="120" w:line="276" w:lineRule="auto"/>
      </w:pPr>
      <w:r>
        <w:rPr>
          <w:rFonts w:ascii="Calibri" w:hAnsi="Calibri"/>
          <w:color w:val="282828"/>
          <w:sz w:val="21"/>
        </w:rPr>
        <w:t>Add a reasoning-capable LLM layer for hard cases only. The LLM receives normalized scene summaries, transcript windows, candidate outputs from the fast models, and the relevant tenant pack digest. It must write structured outputs to a strict schema and cite transcript evidence. Treat the LLM as an adjudicator and extractor, not as the only model in the system.</w:t>
      </w:r>
    </w:p>
    <w:p>
      <w:pPr>
        <w:pStyle w:val="Heading2"/>
        <w:keepNext/>
      </w:pPr>
      <w:r>
        <w:rPr>
          <w:rFonts w:ascii="Calibri" w:hAnsi="Calibri"/>
          <w:b/>
          <w:color w:val="32557F"/>
          <w:sz w:val="25"/>
        </w:rPr>
        <w:t>5.5 Stage E - calibration and abstention</w:t>
      </w:r>
    </w:p>
    <w:p>
      <w:pPr>
        <w:spacing w:after="120" w:line="276" w:lineRule="auto"/>
      </w:pPr>
      <w:r>
        <w:rPr>
          <w:rFonts w:ascii="Calibri" w:hAnsi="Calibri"/>
          <w:color w:val="282828"/>
          <w:sz w:val="21"/>
        </w:rPr>
        <w:t>Calibrate confidence for role resolution, aspect sentiment, and key moments using held-out data and hard slices. The goal is not just to maximize F1; it is to know when to abstain or escalate. Use threshold tuning per task and per release line.</w:t>
      </w:r>
    </w:p>
    <w:p>
      <w:pPr>
        <w:pStyle w:val="Heading1"/>
        <w:keepNext/>
      </w:pPr>
      <w:r>
        <w:rPr>
          <w:rFonts w:ascii="Calibri" w:hAnsi="Calibri"/>
          <w:b/>
          <w:color w:val="1B365D"/>
          <w:sz w:val="34"/>
        </w:rPr>
        <w:t>6. Synthetic data strategy</w:t>
      </w:r>
    </w:p>
    <w:p>
      <w:pPr>
        <w:pStyle w:val="ListBullet"/>
        <w:spacing w:after="40"/>
        <w:ind w:left="0"/>
      </w:pPr>
      <w:r>
        <w:rPr>
          <w:rFonts w:ascii="Calibri" w:hAnsi="Calibri"/>
          <w:color w:val="282828"/>
          <w:sz w:val="21"/>
        </w:rPr>
        <w:t>Generate transcript templates for support, sales, collections, and claims with canonical events as labels.</w:t>
      </w:r>
    </w:p>
    <w:p>
      <w:pPr>
        <w:pStyle w:val="ListBullet"/>
        <w:spacing w:after="40"/>
        <w:ind w:left="0"/>
      </w:pPr>
      <w:r>
        <w:rPr>
          <w:rFonts w:ascii="Calibri" w:hAnsi="Calibri"/>
          <w:color w:val="282828"/>
          <w:sz w:val="21"/>
        </w:rPr>
        <w:t>Inject role noise: renamed speakers, reordered notes, duplicate agent names, missing participant metadata.</w:t>
      </w:r>
    </w:p>
    <w:p>
      <w:pPr>
        <w:pStyle w:val="ListBullet"/>
        <w:spacing w:after="40"/>
        <w:ind w:left="0"/>
      </w:pPr>
      <w:r>
        <w:rPr>
          <w:rFonts w:ascii="Calibri" w:hAnsi="Calibri"/>
          <w:color w:val="282828"/>
          <w:sz w:val="21"/>
        </w:rPr>
        <w:t>Inject ambiguity: sarcasm, double negatives, polite but unhappy customers, internal note contamination, and conflicting promises.</w:t>
      </w:r>
    </w:p>
    <w:p>
      <w:pPr>
        <w:pStyle w:val="ListBullet"/>
        <w:spacing w:after="40"/>
        <w:ind w:left="0"/>
      </w:pPr>
      <w:r>
        <w:rPr>
          <w:rFonts w:ascii="Calibri" w:hAnsi="Calibri"/>
          <w:color w:val="282828"/>
          <w:sz w:val="21"/>
        </w:rPr>
        <w:t>Generate multi-scene transcripts where the trigger spans are far apart to test long-context logic.</w:t>
      </w:r>
    </w:p>
    <w:p>
      <w:pPr>
        <w:pStyle w:val="ListBullet"/>
        <w:spacing w:after="40"/>
        <w:ind w:left="0"/>
      </w:pPr>
      <w:r>
        <w:rPr>
          <w:rFonts w:ascii="Calibri" w:hAnsi="Calibri"/>
          <w:color w:val="282828"/>
          <w:sz w:val="21"/>
        </w:rPr>
        <w:t>Use the synthetic data to stress evals and pretraining, then keep final release thresholds tied to human-reviewed gold sets.</w:t>
      </w:r>
    </w:p>
    <w:p>
      <w:pPr>
        <w:pStyle w:val="Heading1"/>
        <w:keepNext/>
      </w:pPr>
      <w:r>
        <w:rPr>
          <w:rFonts w:ascii="Calibri" w:hAnsi="Calibri"/>
          <w:b/>
          <w:color w:val="1B365D"/>
          <w:sz w:val="34"/>
        </w:rPr>
        <w:t>7. Evaluation suite</w:t>
      </w:r>
    </w:p>
    <w:tbl>
      <w:tblPr>
        <w:tblStyle w:val="TableGrid"/>
        <w:tblW w:type="auto" w:w="0"/>
        <w:jc w:val="center"/>
        <w:tblLook w:firstColumn="1" w:firstRow="1" w:lastColumn="0" w:lastRow="0" w:noHBand="0" w:noVBand="1" w:val="04A0"/>
      </w:tblPr>
      <w:tblGrid>
        <w:gridCol w:w="4997"/>
        <w:gridCol w:w="4997"/>
      </w:tblGrid>
      <w:tr>
        <w:tc>
          <w:tcPr>
            <w:tcW w:type="dxa" w:w="2232"/>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20"/>
              </w:rPr>
              <w:t>Eval slice</w:t>
            </w:r>
          </w:p>
        </w:tc>
        <w:tc>
          <w:tcPr>
            <w:tcW w:type="dxa" w:w="6984"/>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20"/>
              </w:rPr>
              <w:t>What it checks</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9"/>
              </w:rPr>
              <w:t>Speaker-role core</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Precision/recall for END_USER vs non-END_USER, UNKNOWN rate, note/system contamination.</w:t>
            </w:r>
          </w:p>
        </w:tc>
      </w:tr>
      <w:tr>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Support hard cases</w:t>
            </w:r>
          </w:p>
        </w:tc>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Broken promises, refunds, policy disputes, escalations, mixed sentiment.</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9"/>
              </w:rPr>
              <w:t>Sales hard cases</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Interest vs objection, pricing sensitivity, competitor mentions, next-step commitment.</w:t>
            </w:r>
          </w:p>
        </w:tc>
      </w:tr>
      <w:tr>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Collections hard cases</w:t>
            </w:r>
          </w:p>
        </w:tc>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Promise to pay, hardship, refusal, compliance-sensitive phrasing.</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9"/>
              </w:rPr>
              <w:t>Sarcasm/inversion</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Literal vs intended sentiment and correct evidence attribution.</w:t>
            </w:r>
          </w:p>
        </w:tc>
      </w:tr>
      <w:tr>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9"/>
              </w:rPr>
              <w:t>Long-context</w:t>
            </w:r>
          </w:p>
        </w:tc>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Trigger depends on distant context or multiple scenes.</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9"/>
              </w:rPr>
              <w:t>Schema + verifier</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JSON validity, evidence coverage, actor eligibility, review-state correctness.</w:t>
            </w:r>
          </w:p>
        </w:tc>
      </w:tr>
    </w:tbl>
    <w:p/>
    <w:p>
      <w:pPr>
        <w:spacing w:after="120" w:line="276" w:lineRule="auto"/>
      </w:pPr>
      <w:r>
        <w:rPr>
          <w:rFonts w:ascii="Calibri" w:hAnsi="Calibri"/>
          <w:color w:val="282828"/>
          <w:sz w:val="21"/>
        </w:rPr>
        <w:t>Evals must be run on every model change and every tenant-pack change. Model evals measure classification and extraction quality. Workflow evals measure whether the end-to-end pipeline routed correctly, enforced speaker gating, and preserved evidence. Human-reviewed gold sets should exist for each supported use case and for each critical tenant pack family.</w:t>
      </w:r>
    </w:p>
    <w:p>
      <w:pPr>
        <w:pStyle w:val="Heading1"/>
        <w:keepNext/>
      </w:pPr>
      <w:r>
        <w:rPr>
          <w:rFonts w:ascii="Calibri" w:hAnsi="Calibri"/>
          <w:b/>
          <w:color w:val="1B365D"/>
          <w:sz w:val="34"/>
        </w:rPr>
        <w:t>8. Release management</w:t>
      </w:r>
    </w:p>
    <w:p>
      <w:pPr>
        <w:pStyle w:val="ListNumber"/>
      </w:pPr>
      <w:r>
        <w:rPr>
          <w:rFonts w:ascii="Calibri" w:hAnsi="Calibri"/>
          <w:color w:val="282828"/>
          <w:sz w:val="21"/>
        </w:rPr>
        <w:t>Train and validate candidate models on public/non-tenant data and synthetic stress sets.</w:t>
      </w:r>
    </w:p>
    <w:p>
      <w:pPr>
        <w:pStyle w:val="ListNumber"/>
      </w:pPr>
      <w:r>
        <w:rPr>
          <w:rFonts w:ascii="Calibri" w:hAnsi="Calibri"/>
          <w:color w:val="282828"/>
          <w:sz w:val="21"/>
        </w:rPr>
        <w:t>Run offline evals, calibration, and regression across supported use cases.</w:t>
      </w:r>
    </w:p>
    <w:p>
      <w:pPr>
        <w:pStyle w:val="ListNumber"/>
      </w:pPr>
      <w:r>
        <w:rPr>
          <w:rFonts w:ascii="Calibri" w:hAnsi="Calibri"/>
          <w:color w:val="282828"/>
          <w:sz w:val="21"/>
        </w:rPr>
        <w:t>Shadow the candidate release on historical transcripts and compare against current production outputs.</w:t>
      </w:r>
    </w:p>
    <w:p>
      <w:pPr>
        <w:pStyle w:val="ListNumber"/>
      </w:pPr>
      <w:r>
        <w:rPr>
          <w:rFonts w:ascii="Calibri" w:hAnsi="Calibri"/>
          <w:color w:val="282828"/>
          <w:sz w:val="21"/>
        </w:rPr>
        <w:t>Canary to a limited tenant or low-risk traffic slice with alerting on speaker-role regressions and key-moment drift.</w:t>
      </w:r>
    </w:p>
    <w:p>
      <w:pPr>
        <w:pStyle w:val="ListNumber"/>
      </w:pPr>
      <w:r>
        <w:rPr>
          <w:rFonts w:ascii="Calibri" w:hAnsi="Calibri"/>
          <w:color w:val="282828"/>
          <w:sz w:val="21"/>
        </w:rPr>
        <w:t>Promote only after review of both metric deltas and trace-level anomalies.</w:t>
      </w:r>
    </w:p>
    <w:p>
      <w:pPr>
        <w:pStyle w:val="Heading2"/>
        <w:keepNext/>
      </w:pPr>
      <w:r>
        <w:rPr>
          <w:rFonts w:ascii="Calibri" w:hAnsi="Calibri"/>
          <w:b/>
          <w:color w:val="32557F"/>
          <w:sz w:val="25"/>
        </w:rPr>
        <w:t>Release blockers</w:t>
      </w:r>
    </w:p>
    <w:p>
      <w:pPr>
        <w:pStyle w:val="ListBullet"/>
        <w:spacing w:after="40"/>
        <w:ind w:left="0"/>
      </w:pPr>
      <w:r>
        <w:rPr>
          <w:rFonts w:ascii="Calibri" w:hAnsi="Calibri"/>
          <w:color w:val="282828"/>
          <w:sz w:val="21"/>
        </w:rPr>
        <w:t>END_USER role precision or contamination rate falls outside release threshold.</w:t>
      </w:r>
    </w:p>
    <w:p>
      <w:pPr>
        <w:pStyle w:val="ListBullet"/>
        <w:spacing w:after="40"/>
        <w:ind w:left="0"/>
      </w:pPr>
      <w:r>
        <w:rPr>
          <w:rFonts w:ascii="Calibri" w:hAnsi="Calibri"/>
          <w:color w:val="282828"/>
          <w:sz w:val="21"/>
        </w:rPr>
        <w:t>Evidence coverage for high-impact moments drops below threshold.</w:t>
      </w:r>
    </w:p>
    <w:p>
      <w:pPr>
        <w:pStyle w:val="ListBullet"/>
        <w:spacing w:after="40"/>
        <w:ind w:left="0"/>
      </w:pPr>
      <w:r>
        <w:rPr>
          <w:rFonts w:ascii="Calibri" w:hAnsi="Calibri"/>
          <w:color w:val="282828"/>
          <w:sz w:val="21"/>
        </w:rPr>
        <w:t>Schema-valid response rate regresses.</w:t>
      </w:r>
    </w:p>
    <w:p>
      <w:pPr>
        <w:pStyle w:val="ListBullet"/>
        <w:spacing w:after="40"/>
        <w:ind w:left="0"/>
      </w:pPr>
      <w:r>
        <w:rPr>
          <w:rFonts w:ascii="Calibri" w:hAnsi="Calibri"/>
          <w:color w:val="282828"/>
          <w:sz w:val="21"/>
        </w:rPr>
        <w:t>Tenant-pack canary shows unexpected business-label drift.</w:t>
      </w:r>
    </w:p>
    <w:p>
      <w:pPr>
        <w:pStyle w:val="Heading1"/>
        <w:keepNext/>
      </w:pPr>
      <w:r>
        <w:rPr>
          <w:rFonts w:ascii="Calibri" w:hAnsi="Calibri"/>
          <w:b/>
          <w:color w:val="1B365D"/>
          <w:sz w:val="34"/>
        </w:rPr>
        <w:t>9. Deployment runbook</w:t>
      </w:r>
    </w:p>
    <w:tbl>
      <w:tblPr>
        <w:tblStyle w:val="TableGrid"/>
        <w:tblW w:type="auto" w:w="0"/>
        <w:jc w:val="center"/>
        <w:tblLook w:firstColumn="1" w:firstRow="1" w:lastColumn="0" w:lastRow="0" w:noHBand="0" w:noVBand="1" w:val="04A0"/>
      </w:tblPr>
      <w:tblGrid>
        <w:gridCol w:w="4997"/>
        <w:gridCol w:w="4997"/>
      </w:tblGrid>
      <w:tr>
        <w:tc>
          <w:tcPr>
            <w:tcW w:type="dxa" w:w="1584"/>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20"/>
              </w:rPr>
              <w:t>Environment</w:t>
            </w:r>
          </w:p>
        </w:tc>
        <w:tc>
          <w:tcPr>
            <w:tcW w:type="dxa" w:w="7632"/>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20"/>
              </w:rPr>
              <w:t>Purpose</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9"/>
              </w:rPr>
              <w:t>Dev</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Rapid iteration on schemas, prompts, pack compilation, and local worker behavior.</w:t>
            </w:r>
          </w:p>
        </w:tc>
      </w:tr>
      <w:tr>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9"/>
              </w:rPr>
              <w:t>Staging</w:t>
            </w:r>
          </w:p>
        </w:tc>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Integration testing with production-like infra, eval automation, and security controls.</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9"/>
              </w:rPr>
              <w:t>Canary</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Limited production traffic slice for release validation.</w:t>
            </w:r>
          </w:p>
        </w:tc>
      </w:tr>
      <w:tr>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9"/>
              </w:rPr>
              <w:t>Production</w:t>
            </w:r>
          </w:p>
        </w:tc>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Stable release line with feature flags and rollback support.</w:t>
            </w:r>
          </w:p>
        </w:tc>
      </w:tr>
    </w:tbl>
    <w:p/>
    <w:p>
      <w:pPr>
        <w:pStyle w:val="ListBullet"/>
        <w:spacing w:after="40"/>
        <w:ind w:left="0"/>
      </w:pPr>
      <w:r>
        <w:rPr>
          <w:rFonts w:ascii="Calibri" w:hAnsi="Calibri"/>
          <w:color w:val="282828"/>
          <w:sz w:val="21"/>
        </w:rPr>
        <w:t>Use feature flags to switch routing thresholds, pack versions, and deep-analysis usage.</w:t>
      </w:r>
    </w:p>
    <w:p>
      <w:pPr>
        <w:pStyle w:val="ListBullet"/>
        <w:spacing w:after="40"/>
        <w:ind w:left="0"/>
      </w:pPr>
      <w:r>
        <w:rPr>
          <w:rFonts w:ascii="Calibri" w:hAnsi="Calibri"/>
          <w:color w:val="282828"/>
          <w:sz w:val="21"/>
        </w:rPr>
        <w:t>Use blue/green or canary deployment for orchestrator and worker changes.</w:t>
      </w:r>
    </w:p>
    <w:p>
      <w:pPr>
        <w:pStyle w:val="ListBullet"/>
        <w:spacing w:after="40"/>
        <w:ind w:left="0"/>
      </w:pPr>
      <w:r>
        <w:rPr>
          <w:rFonts w:ascii="Calibri" w:hAnsi="Calibri"/>
          <w:color w:val="282828"/>
          <w:sz w:val="21"/>
        </w:rPr>
        <w:t>Keep model versions, pack versions, and schema versions independently traceable in every job record.</w:t>
      </w:r>
    </w:p>
    <w:p>
      <w:pPr>
        <w:pStyle w:val="ListBullet"/>
        <w:spacing w:after="40"/>
        <w:ind w:left="0"/>
      </w:pPr>
      <w:r>
        <w:rPr>
          <w:rFonts w:ascii="Calibri" w:hAnsi="Calibri"/>
          <w:color w:val="282828"/>
          <w:sz w:val="21"/>
        </w:rPr>
        <w:t>Automate artifact cleanup for ephemeral worker directories and temporary prompt files.</w:t>
      </w:r>
    </w:p>
    <w:p>
      <w:pPr>
        <w:pStyle w:val="Heading1"/>
        <w:keepNext/>
      </w:pPr>
      <w:r>
        <w:rPr>
          <w:rFonts w:ascii="Calibri" w:hAnsi="Calibri"/>
          <w:b/>
          <w:color w:val="1B365D"/>
          <w:sz w:val="34"/>
        </w:rPr>
        <w:t>10. 90-day implementation plan</w:t>
      </w:r>
    </w:p>
    <w:tbl>
      <w:tblPr>
        <w:tblStyle w:val="TableGrid"/>
        <w:tblW w:type="auto" w:w="0"/>
        <w:jc w:val="center"/>
        <w:tblLook w:firstColumn="1" w:firstRow="1" w:lastColumn="0" w:lastRow="0" w:noHBand="0" w:noVBand="1" w:val="04A0"/>
      </w:tblPr>
      <w:tblGrid>
        <w:gridCol w:w="4997"/>
        <w:gridCol w:w="4997"/>
      </w:tblGrid>
      <w:tr>
        <w:tc>
          <w:tcPr>
            <w:tcW w:type="dxa" w:w="1584"/>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20"/>
              </w:rPr>
              <w:t>Window</w:t>
            </w:r>
          </w:p>
        </w:tc>
        <w:tc>
          <w:tcPr>
            <w:tcW w:type="dxa" w:w="7632"/>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20"/>
              </w:rPr>
              <w:t>Deliverables</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9"/>
              </w:rPr>
              <w:t>Days 1-30</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Canonical schema, transcript normalizer, speaker resolver v1, support-only tenant pack format, baseline eval harness.</w:t>
            </w:r>
          </w:p>
        </w:tc>
      </w:tr>
      <w:tr>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9"/>
              </w:rPr>
              <w:t>Days 31-60</w:t>
            </w:r>
          </w:p>
        </w:tc>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Fast sentiment and event models, key-moment candidate model, verifier, analyst review queue, support beta.</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9"/>
              </w:rPr>
              <w:t>Days 61-90</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Deep adjudication path, sales/collections packs, regression automation, canary + release controls.</w:t>
            </w:r>
          </w:p>
        </w:tc>
      </w:tr>
    </w:tbl>
    <w:p/>
    <w:p>
      <w:pPr>
        <w:pStyle w:val="Heading1"/>
        <w:keepNext/>
      </w:pPr>
      <w:r>
        <w:rPr>
          <w:rFonts w:ascii="Calibri" w:hAnsi="Calibri"/>
          <w:b/>
          <w:color w:val="1B365D"/>
          <w:sz w:val="34"/>
        </w:rPr>
        <w:t>11. Reference notes</w:t>
      </w:r>
    </w:p>
    <w:p>
      <w:pPr>
        <w:pStyle w:val="Small"/>
        <w:ind w:left="216"/>
      </w:pPr>
      <w:r>
        <w:rPr>
          <w:rFonts w:ascii="Calibri" w:hAnsi="Calibri"/>
          <w:color w:val="66707A"/>
          <w:sz w:val="17"/>
        </w:rPr>
        <w:t>ABCD repository - over 10K human-to-human dialogues with 55 distinct user intents; MIT license.</w:t>
      </w:r>
    </w:p>
    <w:p>
      <w:pPr>
        <w:pStyle w:val="Small"/>
        <w:ind w:left="216"/>
      </w:pPr>
      <w:r>
        <w:rPr>
          <w:rFonts w:ascii="Calibri" w:hAnsi="Calibri"/>
          <w:color w:val="66707A"/>
          <w:sz w:val="17"/>
        </w:rPr>
        <w:t>Taskmaster corpus - role-annotated task dialogues; Google repo describes spoken dialogs with trained call-center operators in Wizard-of-Oz collection and CC BY 4.0 licensing.</w:t>
      </w:r>
    </w:p>
    <w:p>
      <w:pPr>
        <w:pStyle w:val="Small"/>
        <w:ind w:left="216"/>
      </w:pPr>
      <w:r>
        <w:rPr>
          <w:rFonts w:ascii="Calibri" w:hAnsi="Calibri"/>
          <w:color w:val="66707A"/>
          <w:sz w:val="17"/>
        </w:rPr>
        <w:t>Doc2Dial repository - speaker role, dialogue act, and document grounding; Apache-2.0 repo.</w:t>
      </w:r>
    </w:p>
    <w:p>
      <w:pPr>
        <w:pStyle w:val="Small"/>
        <w:ind w:left="216"/>
      </w:pPr>
      <w:r>
        <w:rPr>
          <w:rFonts w:ascii="Calibri" w:hAnsi="Calibri"/>
          <w:color w:val="66707A"/>
          <w:sz w:val="17"/>
        </w:rPr>
        <w:t>CallCenterEN paper - 91,706 PII-redacted English call-center transcripts; audio excluded; CC BY-NC 4.0 non-commercial research use.</w:t>
      </w:r>
    </w:p>
    <w:p>
      <w:pPr>
        <w:pStyle w:val="Small"/>
        <w:ind w:left="216"/>
      </w:pPr>
      <w:r>
        <w:rPr>
          <w:rFonts w:ascii="Calibri" w:hAnsi="Calibri"/>
          <w:color w:val="66707A"/>
          <w:sz w:val="17"/>
        </w:rPr>
        <w:t>SemEval 2024 EDiReF and MELD-FR references - emotion-flip and trigger supervision for conversation shift reasoning.</w:t>
      </w:r>
    </w:p>
    <w:p>
      <w:pPr>
        <w:pStyle w:val="Small"/>
        <w:ind w:left="216"/>
      </w:pPr>
      <w:r>
        <w:rPr>
          <w:rFonts w:ascii="Calibri" w:hAnsi="Calibri"/>
          <w:color w:val="66707A"/>
          <w:sz w:val="17"/>
        </w:rPr>
        <w:t>SARC - large contextual sarcasm corpus useful for auxiliary inversion training.</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07A"/>
        <w:sz w:val="17"/>
      </w:rPr>
      <w:t xml:space="preserve">Conversation Intelligence Design Pack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707A"/>
        <w:sz w:val="17"/>
      </w:rPr>
      <w:t>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52" w:lineRule="auto"/>
      <w:outlineLvl w:val="0"/>
    </w:pPr>
    <w:rPr>
      <w:rFonts w:asciiTheme="majorHAnsi" w:eastAsiaTheme="majorEastAsia" w:hAnsiTheme="majorHAnsi" w:cstheme="majorBidi" w:ascii="Calibri" w:hAnsi="Calibri"/>
      <w:b/>
      <w:bCs/>
      <w:color w:val="1B365D"/>
      <w:sz w:val="34"/>
      <w:szCs w:val="28"/>
    </w:rPr>
  </w:style>
  <w:style w:type="paragraph" w:styleId="Heading2">
    <w:name w:val="heading 2"/>
    <w:basedOn w:val="Normal"/>
    <w:next w:val="Normal"/>
    <w:link w:val="Heading2Char"/>
    <w:uiPriority w:val="9"/>
    <w:unhideWhenUsed/>
    <w:qFormat/>
    <w:rsid w:val="00FC693F"/>
    <w:pPr>
      <w:keepNext/>
      <w:keepLines/>
      <w:spacing w:before="240" w:after="80" w:line="252" w:lineRule="auto"/>
      <w:outlineLvl w:val="1"/>
    </w:pPr>
    <w:rPr>
      <w:rFonts w:asciiTheme="majorHAnsi" w:eastAsiaTheme="majorEastAsia" w:hAnsiTheme="majorHAnsi" w:cstheme="majorBidi" w:ascii="Calibri" w:hAnsi="Calibri"/>
      <w:b/>
      <w:bCs/>
      <w:color w:val="32557F"/>
      <w:sz w:val="25"/>
      <w:szCs w:val="26"/>
    </w:rPr>
  </w:style>
  <w:style w:type="paragraph" w:styleId="Heading3">
    <w:name w:val="heading 3"/>
    <w:basedOn w:val="Normal"/>
    <w:next w:val="Normal"/>
    <w:link w:val="Heading3Char"/>
    <w:uiPriority w:val="9"/>
    <w:unhideWhenUsed/>
    <w:qFormat/>
    <w:rsid w:val="00FC693F"/>
    <w:pPr>
      <w:keepNext/>
      <w:keepLines/>
      <w:spacing w:before="160" w:after="40" w:line="252" w:lineRule="auto"/>
      <w:outlineLvl w:val="2"/>
    </w:pPr>
    <w:rPr>
      <w:rFonts w:asciiTheme="majorHAnsi" w:eastAsiaTheme="majorEastAsia" w:hAnsiTheme="majorHAnsi" w:cstheme="majorBidi" w:ascii="Calibri" w:hAnsi="Calibri"/>
      <w:b/>
      <w:bCs/>
      <w:color w:val="32557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52" w:lineRule="auto" w:before="0"/>
      <w:contextualSpacing/>
    </w:pPr>
    <w:rPr>
      <w:rFonts w:asciiTheme="majorHAnsi" w:eastAsiaTheme="majorEastAsia" w:hAnsiTheme="majorHAnsi" w:cstheme="majorBidi" w:ascii="Calibri" w:hAnsi="Calibri"/>
      <w:b/>
      <w:color w:val="1B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line="252" w:lineRule="auto"/>
    </w:pPr>
    <w:rPr>
      <w:rFonts w:asciiTheme="majorHAnsi" w:eastAsiaTheme="majorEastAsia" w:hAnsiTheme="majorHAnsi" w:cstheme="majorBidi" w:ascii="Calibri" w:hAnsi="Calibri"/>
      <w:b w:val="0"/>
      <w:i/>
      <w:iCs/>
      <w:color w:val="66707A"/>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4"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Calibri" w:hAnsi="Calibri"/>
      <w:color w:val="66707A"/>
      <w:sz w:val="18"/>
    </w:rPr>
  </w:style>
  <w:style w:type="paragraph" w:customStyle="1" w:styleId="CodeBlock">
    <w:name w:val="CodeBlock"/>
    <w:pPr>
      <w:spacing w:after="0" w:line="240" w:lineRule="auto"/>
    </w:pPr>
    <w:rPr>
      <w:rFonts w:ascii="Consolas" w:hAnsi="Consolas"/>
      <w:color w:val="28282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