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FCED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571" w:type="dxa"/>
          </w:tcPr>
          <w:p w14:paraId="384525FB">
            <w:pPr>
              <w:spacing w:after="0" w:line="240" w:lineRule="auto"/>
              <w:rPr>
                <w:rFonts w:ascii="Times New Roman" w:hAnsi="Times New Roman" w:eastAsia="Calibri" w:cs="Times New Roman"/>
                <w:sz w:val="28"/>
                <w:szCs w:val="28"/>
                <w:lang w:eastAsia="en-US"/>
              </w:rPr>
            </w:pPr>
          </w:p>
        </w:tc>
      </w:tr>
    </w:tbl>
    <w:sdt>
      <w:sdtP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  <w:lang w:eastAsia="ru-RU"/>
        </w:rPr>
        <w:id w:val="1719538095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  <w:lang w:eastAsia="ru-RU"/>
        </w:rPr>
      </w:sdtEndPr>
      <w:sdtContent>
        <w:p w14:paraId="4CB9C19B">
          <w:pPr>
            <w:pStyle w:val="13"/>
            <w:spacing w:line="360" w:lineRule="auto"/>
            <w:jc w:val="center"/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b w:val="0"/>
              <w:color w:val="000000" w:themeColor="text1"/>
              <w:sz w:val="22"/>
              <w:szCs w:val="22"/>
              <w14:textFill>
                <w14:solidFill>
                  <w14:schemeClr w14:val="tx1"/>
                </w14:solidFill>
              </w14:textFill>
            </w:rPr>
            <w:t>ОГЛАВЛЕНИЕ</w:t>
          </w:r>
        </w:p>
        <w:p w14:paraId="0D453220">
          <w:pPr>
            <w:pStyle w:val="8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fldChar w:fldCharType="begin"/>
          </w:r>
          <w:r>
            <w:instrText xml:space="preserve"> HYPERLINK \l "_Toc100148780" </w:instrText>
          </w:r>
          <w:r>
            <w:fldChar w:fldCharType="separate"/>
          </w:r>
          <w:r>
            <w:rPr>
              <w:rStyle w:val="5"/>
              <w:rFonts w:ascii="Times New Roman" w:hAnsi="Times New Roman" w:eastAsia="Times New Roman" w:cs="Times New Roman"/>
              <w:caps/>
              <w:lang w:eastAsia="en-US"/>
            </w:rPr>
            <w:t>Введение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_Toc100148780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2A0AECC">
          <w:pPr>
            <w:pStyle w:val="9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"_Toc100148781" </w:instrText>
          </w:r>
          <w:r>
            <w:fldChar w:fldCharType="separate"/>
          </w:r>
          <w:r>
            <w:rPr>
              <w:rStyle w:val="5"/>
              <w:rFonts w:ascii="Times New Roman" w:hAnsi="Times New Roman" w:eastAsia="Calibri" w:cs="Times New Roman"/>
              <w:lang w:eastAsia="en-US"/>
            </w:rPr>
            <w:t>1.</w:t>
          </w:r>
          <w:r>
            <w:rPr>
              <w:rFonts w:ascii="Times New Roman" w:hAnsi="Times New Roman" w:cs="Times New Roman"/>
            </w:rPr>
            <w:tab/>
          </w:r>
          <w:r>
            <w:rPr>
              <w:rStyle w:val="5"/>
              <w:rFonts w:ascii="Times New Roman" w:hAnsi="Times New Roman" w:eastAsia="Calibri" w:cs="Times New Roman"/>
              <w:lang w:eastAsia="en-US"/>
            </w:rPr>
            <w:t>Описание предметной области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_Toc100148781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95E924A">
          <w:pPr>
            <w:pStyle w:val="9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"_Toc100148782" </w:instrText>
          </w:r>
          <w:r>
            <w:fldChar w:fldCharType="separate"/>
          </w:r>
          <w:r>
            <w:rPr>
              <w:rStyle w:val="5"/>
              <w:rFonts w:ascii="Times New Roman" w:hAnsi="Times New Roman" w:eastAsia="Calibri" w:cs="Times New Roman"/>
              <w:lang w:eastAsia="en-US"/>
            </w:rPr>
            <w:t>2.</w:t>
          </w:r>
          <w:r>
            <w:rPr>
              <w:rFonts w:ascii="Times New Roman" w:hAnsi="Times New Roman" w:cs="Times New Roman"/>
            </w:rPr>
            <w:tab/>
          </w:r>
          <w:r>
            <w:rPr>
              <w:rStyle w:val="5"/>
              <w:rFonts w:ascii="Times New Roman" w:hAnsi="Times New Roman" w:eastAsia="Calibri" w:cs="Times New Roman"/>
              <w:lang w:eastAsia="en-US"/>
            </w:rPr>
            <w:t>Выделение входных данных и результатов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_Toc100148782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5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C1EF3FB">
          <w:pPr>
            <w:pStyle w:val="9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"_Toc100148783" </w:instrText>
          </w:r>
          <w:r>
            <w:fldChar w:fldCharType="separate"/>
          </w:r>
          <w:r>
            <w:rPr>
              <w:rStyle w:val="5"/>
              <w:rFonts w:ascii="Times New Roman" w:hAnsi="Times New Roman" w:eastAsia="Calibri" w:cs="Times New Roman"/>
              <w:lang w:eastAsia="en-US"/>
            </w:rPr>
            <w:t>3.</w:t>
          </w:r>
          <w:r>
            <w:rPr>
              <w:rFonts w:ascii="Times New Roman" w:hAnsi="Times New Roman" w:cs="Times New Roman"/>
            </w:rPr>
            <w:tab/>
          </w:r>
          <w:r>
            <w:rPr>
              <w:rStyle w:val="5"/>
              <w:rFonts w:ascii="Times New Roman" w:hAnsi="Times New Roman" w:eastAsia="Calibri" w:cs="Times New Roman"/>
              <w:lang w:eastAsia="en-US"/>
            </w:rPr>
            <w:t>Определение возможности создания ЭС.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_Toc100148783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7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A82A884">
          <w:pPr>
            <w:pStyle w:val="9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"_Toc100148784" </w:instrText>
          </w:r>
          <w:r>
            <w:fldChar w:fldCharType="separate"/>
          </w:r>
          <w:r>
            <w:rPr>
              <w:rStyle w:val="5"/>
              <w:rFonts w:ascii="Times New Roman" w:hAnsi="Times New Roman" w:eastAsia="Calibri" w:cs="Times New Roman"/>
              <w:lang w:eastAsia="en-US"/>
            </w:rPr>
            <w:t>4.</w:t>
          </w:r>
          <w:r>
            <w:rPr>
              <w:rFonts w:ascii="Times New Roman" w:hAnsi="Times New Roman" w:cs="Times New Roman"/>
            </w:rPr>
            <w:tab/>
          </w:r>
          <w:r>
            <w:rPr>
              <w:rStyle w:val="5"/>
              <w:rFonts w:ascii="Times New Roman" w:hAnsi="Times New Roman" w:eastAsia="Calibri" w:cs="Times New Roman"/>
              <w:lang w:eastAsia="en-US"/>
            </w:rPr>
            <w:t>Определение оправданности применения ЭС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_Toc100148784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8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187C2F8">
          <w:pPr>
            <w:pStyle w:val="9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"_Toc100148785" </w:instrText>
          </w:r>
          <w:r>
            <w:fldChar w:fldCharType="separate"/>
          </w:r>
          <w:r>
            <w:rPr>
              <w:rStyle w:val="5"/>
              <w:rFonts w:ascii="Times New Roman" w:hAnsi="Times New Roman" w:eastAsia="Calibri" w:cs="Times New Roman"/>
              <w:lang w:eastAsia="en-US"/>
            </w:rPr>
            <w:t>5.</w:t>
          </w:r>
          <w:r>
            <w:rPr>
              <w:rFonts w:ascii="Times New Roman" w:hAnsi="Times New Roman" w:cs="Times New Roman"/>
            </w:rPr>
            <w:tab/>
          </w:r>
          <w:r>
            <w:rPr>
              <w:rStyle w:val="5"/>
              <w:rFonts w:ascii="Times New Roman" w:hAnsi="Times New Roman" w:eastAsia="Calibri" w:cs="Times New Roman"/>
              <w:lang w:eastAsia="en-US"/>
            </w:rPr>
            <w:t>Определение соответствия проектируемой системы методам ЭС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_Toc100148785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8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404F76F7">
          <w:pPr>
            <w:pStyle w:val="8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"_Toc100148786" </w:instrText>
          </w:r>
          <w:r>
            <w:fldChar w:fldCharType="separate"/>
          </w:r>
          <w:r>
            <w:rPr>
              <w:rStyle w:val="5"/>
              <w:rFonts w:ascii="Times New Roman" w:hAnsi="Times New Roman" w:eastAsia="Times New Roman" w:cs="Times New Roman"/>
              <w:caps/>
              <w:lang w:eastAsia="en-US"/>
            </w:rPr>
            <w:t>ЗАКЛЮЧЕНИЕ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_Toc100148786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8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4F468B3">
          <w:pPr>
            <w:spacing w:line="360" w:lineRule="auto"/>
            <w:sectPr>
              <w:pgSz w:w="11906" w:h="16838"/>
              <w:pgMar w:top="1134" w:right="850" w:bottom="1134" w:left="1701" w:header="708" w:footer="708" w:gutter="0"/>
              <w:cols w:space="708" w:num="1"/>
              <w:docGrid w:linePitch="360" w:charSpace="0"/>
            </w:sect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7F614668">
      <w:pPr>
        <w:keepNext/>
        <w:keepLines/>
        <w:spacing w:before="240" w:after="0" w:line="360" w:lineRule="auto"/>
        <w:ind w:firstLine="709"/>
        <w:jc w:val="center"/>
        <w:outlineLvl w:val="0"/>
        <w:rPr>
          <w:rFonts w:ascii="Times New Roman" w:hAnsi="Times New Roman" w:eastAsia="Times New Roman" w:cs="Times New Roman"/>
          <w:caps/>
          <w:sz w:val="24"/>
          <w:szCs w:val="32"/>
          <w:lang w:eastAsia="en-US"/>
        </w:rPr>
      </w:pPr>
      <w:bookmarkStart w:id="0" w:name="_Toc100148780"/>
      <w:bookmarkStart w:id="1" w:name="_Toc95729781"/>
      <w:r>
        <w:rPr>
          <w:rFonts w:ascii="Times New Roman" w:hAnsi="Times New Roman" w:eastAsia="Times New Roman" w:cs="Times New Roman"/>
          <w:caps/>
          <w:sz w:val="24"/>
          <w:szCs w:val="32"/>
          <w:lang w:eastAsia="en-US"/>
        </w:rPr>
        <w:t>Введение</w:t>
      </w:r>
      <w:bookmarkEnd w:id="0"/>
      <w:bookmarkEnd w:id="1"/>
    </w:p>
    <w:p w14:paraId="51D70A80">
      <w:pPr>
        <w:pStyle w:val="15"/>
        <w:keepNext/>
        <w:keepLines/>
        <w:numPr>
          <w:ilvl w:val="0"/>
          <w:numId w:val="2"/>
        </w:numPr>
        <w:tabs>
          <w:tab w:val="left" w:pos="142"/>
        </w:tabs>
        <w:spacing w:after="0" w:line="360" w:lineRule="auto"/>
        <w:ind w:left="0" w:firstLine="142"/>
        <w:jc w:val="both"/>
        <w:outlineLvl w:val="1"/>
        <w:rPr>
          <w:rFonts w:ascii="Times New Roman" w:hAnsi="Times New Roman" w:eastAsia="Calibri" w:cs="Times New Roman"/>
          <w:b/>
          <w:sz w:val="24"/>
          <w:lang w:eastAsia="en-US"/>
        </w:rPr>
      </w:pPr>
      <w:bookmarkStart w:id="2" w:name="_Toc100148781"/>
      <w:bookmarkStart w:id="3" w:name="_Toc95729782"/>
      <w:r>
        <w:rPr>
          <w:rFonts w:ascii="Times New Roman" w:hAnsi="Times New Roman" w:eastAsia="Calibri" w:cs="Times New Roman"/>
          <w:b/>
          <w:sz w:val="24"/>
          <w:lang w:eastAsia="en-US"/>
        </w:rPr>
        <w:t>Описание предметной области</w:t>
      </w:r>
      <w:bookmarkEnd w:id="2"/>
      <w:bookmarkEnd w:id="3"/>
      <w:r>
        <w:rPr>
          <w:rFonts w:ascii="Times New Roman" w:hAnsi="Times New Roman" w:eastAsia="Calibri" w:cs="Times New Roman"/>
          <w:b/>
          <w:sz w:val="24"/>
          <w:lang w:eastAsia="en-US"/>
        </w:rPr>
        <w:t>.</w:t>
      </w:r>
    </w:p>
    <w:p w14:paraId="0DD52A75">
      <w:pPr>
        <w:pStyle w:val="10"/>
        <w:keepNext w:val="0"/>
        <w:keepLines w:val="0"/>
        <w:widowControl/>
        <w:suppressLineNumbers w:val="0"/>
        <w:ind w:firstLine="708" w:firstLineChars="0"/>
      </w:pPr>
      <w:bookmarkStart w:id="4" w:name="_Toc95729783"/>
      <w:bookmarkStart w:id="5" w:name="_Toc100148782"/>
      <w:r>
        <w:t>Предметная область – укладка плитки. В данной работе рассматриваются только методы укладки керамической плитки, керамогранита, мозаики и подобных материалов на пол, стены и потолок с использованием стандартных клеевых составов, затирок и вспомогательных систем (включая СВП). Жидкие полимеры, натуральные камни с особыми технологиями крепления и материалы для других технологий (например, 3D-плитка или промышленная облицовка) рассматриваться не будут. Основные способы укладки плитки: прямая, диагональная, елочкой, модульная, со смещением. Многообразие факторов позволяет выбрать подходящий метод для каждого помещения, имеющегося основания, бюджета и опыта укладчика. Также существуют композитные и специальные клеи, которые требуют особых температурных режимов, гидроизоляции и инструментов.</w:t>
      </w:r>
    </w:p>
    <w:p w14:paraId="7EAD44F1">
      <w:pPr>
        <w:pStyle w:val="15"/>
        <w:keepNext/>
        <w:keepLines/>
        <w:numPr>
          <w:ilvl w:val="0"/>
          <w:numId w:val="2"/>
        </w:numPr>
        <w:tabs>
          <w:tab w:val="left" w:pos="142"/>
        </w:tabs>
        <w:spacing w:after="0" w:line="360" w:lineRule="auto"/>
        <w:ind w:left="0" w:firstLine="142"/>
        <w:jc w:val="both"/>
        <w:outlineLvl w:val="1"/>
        <w:rPr>
          <w:rFonts w:ascii="Times New Roman" w:hAnsi="Times New Roman" w:eastAsia="Calibri" w:cs="Times New Roman"/>
          <w:b/>
          <w:sz w:val="24"/>
          <w:lang w:eastAsia="en-US"/>
        </w:rPr>
      </w:pPr>
      <w:r>
        <w:rPr>
          <w:rFonts w:ascii="Times New Roman" w:hAnsi="Times New Roman" w:eastAsia="Calibri" w:cs="Times New Roman"/>
          <w:b/>
          <w:sz w:val="24"/>
          <w:lang w:eastAsia="en-US"/>
        </w:rPr>
        <w:t>Выделение входных данных и результатов</w:t>
      </w:r>
      <w:bookmarkEnd w:id="4"/>
      <w:bookmarkEnd w:id="5"/>
      <w:r>
        <w:rPr>
          <w:rFonts w:ascii="Times New Roman" w:hAnsi="Times New Roman" w:eastAsia="Calibri" w:cs="Times New Roman"/>
          <w:b/>
          <w:sz w:val="24"/>
          <w:lang w:eastAsia="en-US"/>
        </w:rPr>
        <w:t>.</w:t>
      </w:r>
    </w:p>
    <w:p w14:paraId="583AC4F0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lang w:eastAsia="en-US"/>
        </w:rPr>
      </w:pPr>
      <w:r>
        <w:rPr>
          <w:rFonts w:ascii="Times New Roman" w:hAnsi="Times New Roman" w:eastAsia="Calibri" w:cs="Times New Roman"/>
          <w:sz w:val="24"/>
          <w:lang w:eastAsia="en-US"/>
        </w:rPr>
        <w:t xml:space="preserve">Входные данные представлены в </w: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begin"/>
      </w:r>
      <w:r>
        <w:rPr>
          <w:rFonts w:ascii="Times New Roman" w:hAnsi="Times New Roman" w:eastAsia="Calibri" w:cs="Times New Roman"/>
          <w:sz w:val="24"/>
          <w:lang w:eastAsia="en-US"/>
        </w:rPr>
        <w:instrText xml:space="preserve"> REF _Ref100097452 \h </w:instrTex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separate"/>
      </w:r>
      <w:r>
        <w:rPr>
          <w:rFonts w:ascii="Times New Roman" w:hAnsi="Times New Roman" w:eastAsia="Calibri" w:cs="Times New Roman"/>
          <w:sz w:val="24"/>
          <w:lang w:eastAsia="en-US"/>
        </w:rPr>
        <w:t>Таблице 1</w: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end"/>
      </w:r>
      <w:r>
        <w:rPr>
          <w:rFonts w:ascii="Times New Roman" w:hAnsi="Times New Roman" w:eastAsia="Calibri" w:cs="Times New Roman"/>
          <w:sz w:val="24"/>
          <w:lang w:eastAsia="en-US"/>
        </w:rPr>
        <w:t>.</w:t>
      </w:r>
    </w:p>
    <w:p w14:paraId="61A220E6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lang w:eastAsia="en-US"/>
        </w:rPr>
      </w:pPr>
      <w:bookmarkStart w:id="6" w:name="_Ref100097452"/>
      <w:bookmarkStart w:id="7" w:name="_Ref100097413"/>
      <w:r>
        <w:rPr>
          <w:rFonts w:ascii="Times New Roman" w:hAnsi="Times New Roman" w:eastAsia="Calibri" w:cs="Times New Roman"/>
          <w:sz w:val="24"/>
          <w:lang w:eastAsia="en-US"/>
        </w:rPr>
        <w:t xml:space="preserve">Таблица </w: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begin"/>
      </w:r>
      <w:r>
        <w:rPr>
          <w:rFonts w:ascii="Times New Roman" w:hAnsi="Times New Roman" w:eastAsia="Calibri" w:cs="Times New Roman"/>
          <w:sz w:val="24"/>
          <w:lang w:eastAsia="en-US"/>
        </w:rPr>
        <w:instrText xml:space="preserve"> SEQ Таблица \* ARABIC </w:instrTex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separate"/>
      </w:r>
      <w:r>
        <w:rPr>
          <w:rFonts w:ascii="Times New Roman" w:hAnsi="Times New Roman" w:eastAsia="Calibri" w:cs="Times New Roman"/>
          <w:sz w:val="24"/>
          <w:lang w:eastAsia="en-US"/>
        </w:rPr>
        <w:t>1</w: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end"/>
      </w:r>
      <w:bookmarkEnd w:id="6"/>
      <w:r>
        <w:rPr>
          <w:rFonts w:ascii="Times New Roman" w:hAnsi="Times New Roman" w:eastAsia="Calibri" w:cs="Times New Roman"/>
          <w:sz w:val="24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lang w:eastAsia="en-US"/>
        </w:rPr>
        <w:softHyphen/>
      </w:r>
      <w:r>
        <w:rPr>
          <w:rFonts w:ascii="Times New Roman" w:hAnsi="Times New Roman" w:eastAsia="Calibri" w:cs="Times New Roman"/>
          <w:sz w:val="24"/>
          <w:lang w:eastAsia="en-US"/>
        </w:rPr>
        <w:t>– Выделение входных данных и результатов</w:t>
      </w:r>
      <w:bookmarkEnd w:id="7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3"/>
        <w:gridCol w:w="4673"/>
      </w:tblGrid>
      <w:tr w14:paraId="15EE5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  <w:tcBorders>
              <w:bottom w:val="single" w:color="auto" w:sz="4" w:space="0"/>
            </w:tcBorders>
          </w:tcPr>
          <w:p w14:paraId="23D4FF1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  <w:lang w:eastAsia="en-US"/>
              </w:rPr>
              <w:t>Входные данные</w:t>
            </w:r>
          </w:p>
        </w:tc>
        <w:tc>
          <w:tcPr>
            <w:tcW w:w="4673" w:type="dxa"/>
            <w:tcBorders>
              <w:bottom w:val="single" w:color="auto" w:sz="4" w:space="0"/>
            </w:tcBorders>
          </w:tcPr>
          <w:p w14:paraId="3D4B89B2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2"/>
                <w:szCs w:val="22"/>
                <w:lang w:eastAsia="en-US"/>
              </w:rPr>
              <w:t>Результат</w:t>
            </w:r>
          </w:p>
        </w:tc>
      </w:tr>
      <w:tr w14:paraId="6385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73B92FAD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Тип поверхности (пол, стена, потолок)</w:t>
            </w:r>
          </w:p>
        </w:tc>
        <w:tc>
          <w:tcPr>
            <w:tcW w:w="467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1F4D3FC">
            <w:pPr>
              <w:pStyle w:val="10"/>
              <w:keepNext w:val="0"/>
              <w:keepLines w:val="0"/>
              <w:widowControl/>
              <w:suppressLineNumbers w:val="0"/>
            </w:pPr>
            <w:r>
              <w:t>Способ укладки плитки</w:t>
            </w:r>
          </w:p>
          <w:p w14:paraId="2266F9AF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3AC1B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4673" w:type="dxa"/>
            <w:tcBorders>
              <w:left w:val="single" w:color="auto" w:sz="4" w:space="0"/>
            </w:tcBorders>
          </w:tcPr>
          <w:p w14:paraId="1114C71E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Материал основания</w:t>
            </w:r>
          </w:p>
        </w:tc>
        <w:tc>
          <w:tcPr>
            <w:tcW w:w="4673" w:type="dxa"/>
            <w:vMerge w:val="continue"/>
            <w:tcBorders>
              <w:right w:val="single" w:color="auto" w:sz="4" w:space="0"/>
            </w:tcBorders>
          </w:tcPr>
          <w:p w14:paraId="65279666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1ADC4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</w:tcBorders>
          </w:tcPr>
          <w:p w14:paraId="33E404BB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Состояние основания</w:t>
            </w:r>
          </w:p>
        </w:tc>
        <w:tc>
          <w:tcPr>
            <w:tcW w:w="4673" w:type="dxa"/>
            <w:vMerge w:val="continue"/>
            <w:tcBorders>
              <w:right w:val="single" w:color="auto" w:sz="4" w:space="0"/>
            </w:tcBorders>
          </w:tcPr>
          <w:p w14:paraId="4D965233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5451B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</w:tcBorders>
          </w:tcPr>
          <w:p w14:paraId="0FA8D1A2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Площадь укладки (м²)</w:t>
            </w:r>
          </w:p>
        </w:tc>
        <w:tc>
          <w:tcPr>
            <w:tcW w:w="4673" w:type="dxa"/>
            <w:vMerge w:val="continue"/>
            <w:tcBorders>
              <w:right w:val="single" w:color="auto" w:sz="4" w:space="0"/>
            </w:tcBorders>
          </w:tcPr>
          <w:p w14:paraId="5A7EFA35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0BD5F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</w:tcBorders>
          </w:tcPr>
          <w:p w14:paraId="5D3D6E46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Тип плитки</w:t>
            </w:r>
          </w:p>
        </w:tc>
        <w:tc>
          <w:tcPr>
            <w:tcW w:w="4673" w:type="dxa"/>
            <w:vMerge w:val="continue"/>
            <w:tcBorders>
              <w:right w:val="single" w:color="auto" w:sz="4" w:space="0"/>
            </w:tcBorders>
          </w:tcPr>
          <w:p w14:paraId="18BC5357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712A4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</w:tcBorders>
          </w:tcPr>
          <w:p w14:paraId="2A7BAA32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Размер плитки</w:t>
            </w:r>
          </w:p>
        </w:tc>
        <w:tc>
          <w:tcPr>
            <w:tcW w:w="4673" w:type="dxa"/>
            <w:vMerge w:val="continue"/>
            <w:tcBorders>
              <w:right w:val="single" w:color="auto" w:sz="4" w:space="0"/>
            </w:tcBorders>
          </w:tcPr>
          <w:p w14:paraId="653D065F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6CB36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7EAF554D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Форма плитки</w:t>
            </w:r>
          </w:p>
        </w:tc>
        <w:tc>
          <w:tcPr>
            <w:tcW w:w="4673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7687092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64618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39549434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Помещение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7CC6741E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1B5FC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0D42B63B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Уровень влажности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5355BDD0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4323A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5E984F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Наличие теплого пола</w:t>
            </w:r>
          </w:p>
        </w:tc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05F8BA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32AC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855B9C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Ожидаемая нагрузка</w:t>
            </w:r>
          </w:p>
        </w:tc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184217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5AAF2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AE08A2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Бюджет</w:t>
            </w:r>
          </w:p>
        </w:tc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8DDEF5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45740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0C9EA7C0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Уровень опыта укладчика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3D962E1E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4FAA4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0A69FC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Наличие профессиональных инструментов</w:t>
            </w:r>
          </w:p>
        </w:tc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909B80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57843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1C9659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Ограничение по времени</w:t>
            </w:r>
          </w:p>
        </w:tc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C0C64D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52851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18FA38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Требуется гидроизоляция</w:t>
            </w:r>
          </w:p>
        </w:tc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43E3C1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1C358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2DAB9D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Используется ли СВП</w:t>
            </w:r>
          </w:p>
        </w:tc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1D7C48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32B47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5278FF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Предпочтение типа клея</w:t>
            </w:r>
          </w:p>
        </w:tc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F8B13D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4827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4FA74BF2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Требования к затирке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60195D93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1CB91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6D73986C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Желаемый рисунок укладки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722FE267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18C49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5DAC3F6D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Температурный режим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44D3226F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55652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549DD6DB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Требуется морозостойкость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00616849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6B575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42B340B3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Внутренние или наружные работы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242929F9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69001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6BC712C4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Требуется антискольжение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24AC880E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0EB08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4A26FAE5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Экологичность материалов важна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7DA33128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57956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62D6E42F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Аллергия на химические вещества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7BAF5C4F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6E55C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1DF65861">
            <w:pPr>
              <w:pStyle w:val="10"/>
              <w:keepNext w:val="0"/>
              <w:keepLines w:val="0"/>
              <w:widowControl/>
              <w:suppressLineNumbers w:val="0"/>
            </w:pPr>
            <w:r>
              <w:t>Необходимость предварительного выравнивания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0D745F44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2654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27D8E0E8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Предпочтительная ширина швов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1C1CA850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29EE6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7B6C87FB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Цена за квадратный метр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09284D4E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3FA26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37B8381F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Доступность материалов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03A9D206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62562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7E31D038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Стиль дизайна интерьера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08439CC9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1BB79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0B5DFDAB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Наличие коммуникаций под плиткой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3234144C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6A1B6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6662DABB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Толщина плитки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788F5442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71398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655273F3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Требуется ли шумоизоляция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77C0D383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60939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6BD0A057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Наличие подложки</w:t>
            </w:r>
          </w:p>
        </w:tc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</w:tcPr>
          <w:p w14:paraId="0A80FD16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  <w:tr w14:paraId="06990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140349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Тип основания по адгезии</w:t>
            </w:r>
          </w:p>
        </w:tc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FC6C4A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</w:p>
        </w:tc>
      </w:tr>
    </w:tbl>
    <w:p w14:paraId="43268A1F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lang w:eastAsia="en-US"/>
        </w:rPr>
      </w:pPr>
    </w:p>
    <w:p w14:paraId="2A7D459A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lang w:eastAsia="en-US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22E3F053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lang w:eastAsia="en-US"/>
        </w:rPr>
      </w:pPr>
      <w:r>
        <w:rPr>
          <w:rFonts w:ascii="Times New Roman" w:hAnsi="Times New Roman" w:eastAsia="Calibri" w:cs="Times New Roman"/>
          <w:sz w:val="24"/>
          <w:lang w:eastAsia="en-US"/>
        </w:rPr>
        <w:t xml:space="preserve">Описание входных данных и результатов представлены в </w: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begin"/>
      </w:r>
      <w:r>
        <w:rPr>
          <w:rFonts w:ascii="Times New Roman" w:hAnsi="Times New Roman" w:eastAsia="Calibri" w:cs="Times New Roman"/>
          <w:sz w:val="24"/>
          <w:lang w:eastAsia="en-US"/>
        </w:rPr>
        <w:instrText xml:space="preserve"> REF _Ref100098013 \h </w:instrTex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separate"/>
      </w:r>
      <w:r>
        <w:rPr>
          <w:rFonts w:ascii="Times New Roman" w:hAnsi="Times New Roman" w:eastAsia="Calibri" w:cs="Times New Roman"/>
          <w:sz w:val="24"/>
          <w:lang w:eastAsia="en-US"/>
        </w:rPr>
        <w:t>Таблице 2</w: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end"/>
      </w:r>
      <w:r>
        <w:rPr>
          <w:rFonts w:ascii="Times New Roman" w:hAnsi="Times New Roman" w:eastAsia="Calibri" w:cs="Times New Roman"/>
          <w:sz w:val="24"/>
          <w:lang w:eastAsia="en-US"/>
        </w:rPr>
        <w:t>.</w:t>
      </w:r>
    </w:p>
    <w:p w14:paraId="1D876FA7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lang w:eastAsia="en-US"/>
        </w:rPr>
      </w:pPr>
      <w:bookmarkStart w:id="8" w:name="_Ref100098013"/>
      <w:r>
        <w:rPr>
          <w:rFonts w:ascii="Times New Roman" w:hAnsi="Times New Roman" w:eastAsia="Calibri" w:cs="Times New Roman"/>
          <w:sz w:val="24"/>
          <w:lang w:eastAsia="en-US"/>
        </w:rPr>
        <w:t xml:space="preserve">Таблица </w: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begin"/>
      </w:r>
      <w:r>
        <w:rPr>
          <w:rFonts w:ascii="Times New Roman" w:hAnsi="Times New Roman" w:eastAsia="Calibri" w:cs="Times New Roman"/>
          <w:sz w:val="24"/>
          <w:lang w:eastAsia="en-US"/>
        </w:rPr>
        <w:instrText xml:space="preserve"> SEQ Таблица \* ARABIC </w:instrTex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separate"/>
      </w:r>
      <w:r>
        <w:rPr>
          <w:rFonts w:ascii="Times New Roman" w:hAnsi="Times New Roman" w:eastAsia="Calibri" w:cs="Times New Roman"/>
          <w:sz w:val="24"/>
          <w:lang w:eastAsia="en-US"/>
        </w:rPr>
        <w:t>2</w: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end"/>
      </w:r>
      <w:bookmarkEnd w:id="8"/>
      <w:r>
        <w:rPr>
          <w:rFonts w:ascii="Times New Roman" w:hAnsi="Times New Roman" w:eastAsia="Calibri" w:cs="Times New Roman"/>
          <w:sz w:val="24"/>
          <w:lang w:eastAsia="en-US"/>
        </w:rPr>
        <w:t xml:space="preserve"> – Описание входных данных и результатов</w:t>
      </w:r>
    </w:p>
    <w:p w14:paraId="6FD328CA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lang w:eastAsia="en-US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3"/>
        <w:gridCol w:w="4672"/>
      </w:tblGrid>
      <w:tr w14:paraId="3A12E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12D0C665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  <w:lang w:eastAsia="en-US"/>
              </w:rPr>
              <w:t>Входные данные</w:t>
            </w:r>
          </w:p>
        </w:tc>
        <w:tc>
          <w:tcPr>
            <w:tcW w:w="4672" w:type="dxa"/>
          </w:tcPr>
          <w:p w14:paraId="6E57D1A7">
            <w:pPr>
              <w:pStyle w:val="15"/>
              <w:spacing w:after="0" w:line="360" w:lineRule="auto"/>
              <w:ind w:left="0"/>
              <w:jc w:val="center"/>
              <w:rPr>
                <w:rFonts w:ascii="Times New Roman" w:hAnsi="Times New Roman" w:eastAsia="Calibri" w:cs="Times New Roman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2"/>
                <w:szCs w:val="22"/>
                <w:lang w:eastAsia="en-US"/>
              </w:rPr>
              <w:t>Значения</w:t>
            </w:r>
          </w:p>
        </w:tc>
      </w:tr>
      <w:tr w14:paraId="2E6D0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0128C61C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Тип поверхности</w:t>
            </w:r>
          </w:p>
        </w:tc>
        <w:tc>
          <w:tcPr>
            <w:tcW w:w="4672" w:type="dxa"/>
          </w:tcPr>
          <w:p w14:paraId="1444CCAF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Пол 2. Стена 3. Потолок</w:t>
            </w:r>
          </w:p>
        </w:tc>
      </w:tr>
      <w:tr w14:paraId="6C372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2765DBE2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Материал основания</w:t>
            </w:r>
          </w:p>
        </w:tc>
        <w:tc>
          <w:tcPr>
            <w:tcW w:w="4672" w:type="dxa"/>
          </w:tcPr>
          <w:p w14:paraId="09B12723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Бетон 2. Гипсокартон 3. Дерево/ДСП 4. Металл 5. Штукатурка 6. Другое</w:t>
            </w:r>
          </w:p>
        </w:tc>
      </w:tr>
      <w:tr w14:paraId="4E896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1A719683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Состояние основания</w:t>
            </w:r>
          </w:p>
        </w:tc>
        <w:tc>
          <w:tcPr>
            <w:tcW w:w="4672" w:type="dxa"/>
          </w:tcPr>
          <w:p w14:paraId="12A7E859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Идеально ровное 2. С небольшими неровностями 3. С трещинами/дефектами 4. Требует капитального выравнивания</w:t>
            </w:r>
          </w:p>
        </w:tc>
      </w:tr>
      <w:tr w14:paraId="3E526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07394B2C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Площадь укладки (м²)</w:t>
            </w:r>
          </w:p>
        </w:tc>
        <w:tc>
          <w:tcPr>
            <w:tcW w:w="4672" w:type="dxa"/>
          </w:tcPr>
          <w:p w14:paraId="3C059C85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До 5 м² 2. 5–15 м² 3. 15–30 м² 4. Более 30 м²</w:t>
            </w:r>
          </w:p>
        </w:tc>
      </w:tr>
      <w:tr w14:paraId="32BA9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tblHeader/>
        </w:trPr>
        <w:tc>
          <w:tcPr>
            <w:tcW w:w="4673" w:type="dxa"/>
          </w:tcPr>
          <w:p w14:paraId="79BB112B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Тип плитки</w:t>
            </w:r>
          </w:p>
        </w:tc>
        <w:tc>
          <w:tcPr>
            <w:tcW w:w="4672" w:type="dxa"/>
          </w:tcPr>
          <w:p w14:paraId="188EA0C6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Керамика 2. Керамогранит 3. Мозаика 4. Клинкер 5. Другое</w:t>
            </w:r>
          </w:p>
        </w:tc>
      </w:tr>
      <w:tr w14:paraId="4A2D0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3AA7A892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Размер плитки</w:t>
            </w:r>
          </w:p>
        </w:tc>
        <w:tc>
          <w:tcPr>
            <w:tcW w:w="4672" w:type="dxa"/>
          </w:tcPr>
          <w:p w14:paraId="4CFABCE2">
            <w:pPr>
              <w:pStyle w:val="10"/>
              <w:keepNext w:val="0"/>
              <w:keepLines w:val="0"/>
              <w:widowControl/>
              <w:suppressLineNumbers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t>1. Маленькая (до 20×20 см) 2. Средняя (20–40 см) 3. Большая (свыше 40 см)</w:t>
            </w:r>
          </w:p>
        </w:tc>
      </w:tr>
      <w:tr w14:paraId="2FD2A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673" w:type="dxa"/>
          </w:tcPr>
          <w:p w14:paraId="3D759548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Форма плитки</w:t>
            </w:r>
          </w:p>
        </w:tc>
        <w:tc>
          <w:tcPr>
            <w:tcW w:w="4672" w:type="dxa"/>
          </w:tcPr>
          <w:p w14:paraId="62ECC1C6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Квадрат 2. Прямоугольник 3. Шестигранник 4. Другая</w:t>
            </w:r>
          </w:p>
        </w:tc>
      </w:tr>
      <w:tr w14:paraId="04C3D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22F6875A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t>Помещение</w:t>
            </w:r>
          </w:p>
        </w:tc>
        <w:tc>
          <w:tcPr>
            <w:tcW w:w="4672" w:type="dxa"/>
          </w:tcPr>
          <w:p w14:paraId="66B339F8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t>1. Ванная/санузел 2. Кухня 3. Гостиная/коридор 4. Балкон/лоджия 5. Фасад/наружные работы 6. Другое</w:t>
            </w:r>
          </w:p>
        </w:tc>
      </w:tr>
      <w:tr w14:paraId="7C7F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3E98B2CA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Уровень влажности</w:t>
            </w:r>
          </w:p>
        </w:tc>
        <w:tc>
          <w:tcPr>
            <w:tcW w:w="4672" w:type="dxa"/>
          </w:tcPr>
          <w:p w14:paraId="6FA733EB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Сухое помещение 2. Влажное 3. Мокрое (постоянный контакт с водой)</w:t>
            </w:r>
          </w:p>
        </w:tc>
      </w:tr>
      <w:tr w14:paraId="4720D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58999EDE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Наличие теплого пола</w:t>
            </w:r>
          </w:p>
        </w:tc>
        <w:tc>
          <w:tcPr>
            <w:tcW w:w="4672" w:type="dxa"/>
          </w:tcPr>
          <w:p w14:paraId="1202AE79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Да 2. Нет</w:t>
            </w:r>
          </w:p>
        </w:tc>
      </w:tr>
      <w:tr w14:paraId="031C8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2298EBC8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Ожидаемая нагрузка</w:t>
            </w:r>
          </w:p>
        </w:tc>
        <w:tc>
          <w:tcPr>
            <w:tcW w:w="4672" w:type="dxa"/>
          </w:tcPr>
          <w:p w14:paraId="2FB21595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Низкая (пешеходная) 2. Средняя 3. Высокая (транспортная/коммерческая)</w:t>
            </w:r>
          </w:p>
        </w:tc>
      </w:tr>
      <w:tr w14:paraId="41606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159A55F3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Бюджет</w:t>
            </w:r>
            <w:bookmarkStart w:id="15" w:name="_GoBack"/>
            <w:bookmarkEnd w:id="15"/>
          </w:p>
        </w:tc>
        <w:tc>
          <w:tcPr>
            <w:tcW w:w="4672" w:type="dxa"/>
          </w:tcPr>
          <w:p w14:paraId="55F0778A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Низкий 2. Средний 3. Высокий</w:t>
            </w:r>
          </w:p>
        </w:tc>
      </w:tr>
      <w:tr w14:paraId="3E800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1B745422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Уровень опыта укладчика</w:t>
            </w:r>
          </w:p>
        </w:tc>
        <w:tc>
          <w:tcPr>
            <w:tcW w:w="4672" w:type="dxa"/>
          </w:tcPr>
          <w:p w14:paraId="4A3C03CA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Новичок 2. Средний 3. Профессионал</w:t>
            </w:r>
          </w:p>
        </w:tc>
      </w:tr>
      <w:tr w14:paraId="3DACF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1DA73574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Наличие профессиональных инструментов</w:t>
            </w:r>
          </w:p>
        </w:tc>
        <w:tc>
          <w:tcPr>
            <w:tcW w:w="4672" w:type="dxa"/>
          </w:tcPr>
          <w:p w14:paraId="0DE188B3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Да (полный набор + СВП) 2. Нет (только базовые)</w:t>
            </w:r>
          </w:p>
        </w:tc>
      </w:tr>
      <w:tr w14:paraId="6D7AA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6F724A90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Ограничение по времени</w:t>
            </w:r>
          </w:p>
        </w:tc>
        <w:tc>
          <w:tcPr>
            <w:tcW w:w="4672" w:type="dxa"/>
          </w:tcPr>
          <w:p w14:paraId="72E00792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Строго ограничено 2. Достаточно времени</w:t>
            </w:r>
          </w:p>
        </w:tc>
      </w:tr>
      <w:tr w14:paraId="47C93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199FBCA4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Требуется гидроизоляция</w:t>
            </w:r>
          </w:p>
        </w:tc>
        <w:tc>
          <w:tcPr>
            <w:tcW w:w="4672" w:type="dxa"/>
          </w:tcPr>
          <w:p w14:paraId="45BB0656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Да 2. Нет</w:t>
            </w:r>
          </w:p>
        </w:tc>
      </w:tr>
      <w:tr w14:paraId="1C2AC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230F008C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Используется ли СВП</w:t>
            </w:r>
          </w:p>
        </w:tc>
        <w:tc>
          <w:tcPr>
            <w:tcW w:w="4672" w:type="dxa"/>
          </w:tcPr>
          <w:p w14:paraId="03013A32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Да 2. Нет</w:t>
            </w:r>
          </w:p>
        </w:tc>
      </w:tr>
      <w:tr w14:paraId="2F6A5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7CEBDFFD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Предпочтение типа клея</w:t>
            </w:r>
          </w:p>
        </w:tc>
        <w:tc>
          <w:tcPr>
            <w:tcW w:w="4672" w:type="dxa"/>
          </w:tcPr>
          <w:p w14:paraId="025412E5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Стандартный 2. Эластичный 3. Для влажных помещений 4. Быстросохнущий 5. Другое</w:t>
            </w:r>
          </w:p>
        </w:tc>
      </w:tr>
      <w:tr w14:paraId="60BA6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138D9AAE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Требования к затирке</w:t>
            </w:r>
          </w:p>
        </w:tc>
        <w:tc>
          <w:tcPr>
            <w:tcW w:w="4672" w:type="dxa"/>
          </w:tcPr>
          <w:p w14:paraId="25737FAA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Стандартная 2. Эпоксидная 3. Цветная/декоративная 4. Антигрибковая Желаемый рисунок укладки 1. Прямая 2. Диагональная 3. Елочкой 4. Модульная 5. Со смещением 6. Другое</w:t>
            </w:r>
          </w:p>
        </w:tc>
      </w:tr>
      <w:tr w14:paraId="463EE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2D4E20F0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Температурный режим</w:t>
            </w:r>
          </w:p>
        </w:tc>
        <w:tc>
          <w:tcPr>
            <w:tcW w:w="4672" w:type="dxa"/>
          </w:tcPr>
          <w:p w14:paraId="4BD6B968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Стандартный (18–25 °C) 2. Низкие температуры 3. Высокие температуры</w:t>
            </w:r>
          </w:p>
        </w:tc>
      </w:tr>
      <w:tr w14:paraId="27E9E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28CEF9D6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Требуется морозостойкость</w:t>
            </w:r>
          </w:p>
        </w:tc>
        <w:tc>
          <w:tcPr>
            <w:tcW w:w="4672" w:type="dxa"/>
          </w:tcPr>
          <w:p w14:paraId="231F063D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Да 2. Нет</w:t>
            </w:r>
          </w:p>
        </w:tc>
      </w:tr>
      <w:tr w14:paraId="040F8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2846B9FE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Внутренние или наружные работы</w:t>
            </w:r>
          </w:p>
        </w:tc>
        <w:tc>
          <w:tcPr>
            <w:tcW w:w="4672" w:type="dxa"/>
          </w:tcPr>
          <w:p w14:paraId="2F29E009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Внутренние 2. Наружные</w:t>
            </w:r>
          </w:p>
        </w:tc>
      </w:tr>
      <w:tr w14:paraId="54B39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0811B4A2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Требуется антискольжение</w:t>
            </w:r>
          </w:p>
        </w:tc>
        <w:tc>
          <w:tcPr>
            <w:tcW w:w="4672" w:type="dxa"/>
          </w:tcPr>
          <w:p w14:paraId="767B8682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Да 2. Нет</w:t>
            </w:r>
          </w:p>
        </w:tc>
      </w:tr>
      <w:tr w14:paraId="72469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4DB2A691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Экологичность материалов важна</w:t>
            </w:r>
          </w:p>
        </w:tc>
        <w:tc>
          <w:tcPr>
            <w:tcW w:w="4672" w:type="dxa"/>
          </w:tcPr>
          <w:p w14:paraId="7525760A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Да 2. Нет</w:t>
            </w:r>
          </w:p>
        </w:tc>
      </w:tr>
      <w:tr w14:paraId="77EC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532018F4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Аллергия на химические вещества</w:t>
            </w:r>
          </w:p>
        </w:tc>
        <w:tc>
          <w:tcPr>
            <w:tcW w:w="4672" w:type="dxa"/>
          </w:tcPr>
          <w:p w14:paraId="3E45195C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Да 2. Нет</w:t>
            </w:r>
          </w:p>
        </w:tc>
      </w:tr>
      <w:tr w14:paraId="44FFF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334A4DC4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Необходимость предварительного выравнивания</w:t>
            </w:r>
          </w:p>
        </w:tc>
        <w:tc>
          <w:tcPr>
            <w:tcW w:w="4672" w:type="dxa"/>
          </w:tcPr>
          <w:p w14:paraId="2B3ED192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Да 2. Нет</w:t>
            </w:r>
          </w:p>
        </w:tc>
      </w:tr>
      <w:tr w14:paraId="3A59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1C5B97F2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Предпочтительная ширина швов</w:t>
            </w:r>
          </w:p>
        </w:tc>
        <w:tc>
          <w:tcPr>
            <w:tcW w:w="4672" w:type="dxa"/>
          </w:tcPr>
          <w:p w14:paraId="4BE16D80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Тонкие (1–2 мм) 2. Средние (3–5 мм) 3. Широкие (более 5 мм)</w:t>
            </w:r>
          </w:p>
        </w:tc>
      </w:tr>
      <w:tr w14:paraId="6747E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7A6B1BED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Цена за квадратный метр</w:t>
            </w:r>
          </w:p>
        </w:tc>
        <w:tc>
          <w:tcPr>
            <w:tcW w:w="4672" w:type="dxa"/>
          </w:tcPr>
          <w:p w14:paraId="663A920F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Низкая 2. Средняя 3. Высокая</w:t>
            </w:r>
          </w:p>
        </w:tc>
      </w:tr>
      <w:tr w14:paraId="56A32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4B0CF5A4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Доступность материалов</w:t>
            </w:r>
          </w:p>
        </w:tc>
        <w:tc>
          <w:tcPr>
            <w:tcW w:w="4672" w:type="dxa"/>
          </w:tcPr>
          <w:p w14:paraId="4BAA752C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В наличии 2. Ограничена</w:t>
            </w:r>
          </w:p>
        </w:tc>
      </w:tr>
      <w:tr w14:paraId="39696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63C6F001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Стиль дизайна интерьера</w:t>
            </w:r>
          </w:p>
        </w:tc>
        <w:tc>
          <w:tcPr>
            <w:tcW w:w="4672" w:type="dxa"/>
          </w:tcPr>
          <w:p w14:paraId="543AAE91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Современный 2. Классический 3. Минимализм 4. Другое</w:t>
            </w:r>
          </w:p>
        </w:tc>
      </w:tr>
      <w:tr w14:paraId="7394C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49AAD8B9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Наличие коммуникаций под плиткой</w:t>
            </w:r>
          </w:p>
        </w:tc>
        <w:tc>
          <w:tcPr>
            <w:tcW w:w="4672" w:type="dxa"/>
          </w:tcPr>
          <w:p w14:paraId="52B6EAFA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Да 2. Нет</w:t>
            </w:r>
          </w:p>
        </w:tc>
      </w:tr>
      <w:tr w14:paraId="32748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5EC13211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Толщина плитки</w:t>
            </w:r>
          </w:p>
        </w:tc>
        <w:tc>
          <w:tcPr>
            <w:tcW w:w="4672" w:type="dxa"/>
          </w:tcPr>
          <w:p w14:paraId="634F1C43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Тонкая (до 8 мм) 2. Стандартная (8–12 мм) 3. Толстая (свыше 12 мм)</w:t>
            </w:r>
          </w:p>
        </w:tc>
      </w:tr>
      <w:tr w14:paraId="6DF1F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50FD8B92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Требуется ли шумоизоляция</w:t>
            </w:r>
          </w:p>
        </w:tc>
        <w:tc>
          <w:tcPr>
            <w:tcW w:w="4672" w:type="dxa"/>
          </w:tcPr>
          <w:p w14:paraId="1699AF20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Да 2. Нет</w:t>
            </w:r>
          </w:p>
        </w:tc>
      </w:tr>
      <w:tr w14:paraId="5650B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0EC125E9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Наличие подложки</w:t>
            </w:r>
          </w:p>
        </w:tc>
        <w:tc>
          <w:tcPr>
            <w:tcW w:w="4672" w:type="dxa"/>
          </w:tcPr>
          <w:p w14:paraId="72767CEF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Да 2. Нет</w:t>
            </w:r>
          </w:p>
        </w:tc>
      </w:tr>
      <w:tr w14:paraId="1DD51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3" w:type="dxa"/>
          </w:tcPr>
          <w:p w14:paraId="4F1132EE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Тип основания по адгезии</w:t>
            </w:r>
          </w:p>
        </w:tc>
        <w:tc>
          <w:tcPr>
            <w:tcW w:w="4672" w:type="dxa"/>
          </w:tcPr>
          <w:p w14:paraId="2173292E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t>1. Высокая адгезия 2. Средняя 3. Низкая (требует грунтовки)</w:t>
            </w:r>
          </w:p>
        </w:tc>
      </w:tr>
    </w:tbl>
    <w:p w14:paraId="4C687798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lang w:eastAsia="en-US"/>
        </w:rPr>
      </w:pPr>
      <w:r>
        <w:rPr>
          <w:rFonts w:ascii="Times New Roman" w:hAnsi="Times New Roman" w:eastAsia="Calibri" w:cs="Times New Roman"/>
          <w:sz w:val="24"/>
          <w:lang w:eastAsia="en-US"/>
        </w:rPr>
        <w:t xml:space="preserve"> Модель представление базы знаний может отразить статические и динамические свойства предметной области.</w:t>
      </w:r>
    </w:p>
    <w:p w14:paraId="5EC0DCA8">
      <w:pPr>
        <w:pStyle w:val="15"/>
        <w:keepNext/>
        <w:keepLines/>
        <w:numPr>
          <w:ilvl w:val="0"/>
          <w:numId w:val="2"/>
        </w:numPr>
        <w:tabs>
          <w:tab w:val="left" w:pos="142"/>
        </w:tabs>
        <w:spacing w:after="0" w:line="360" w:lineRule="auto"/>
        <w:ind w:left="0" w:firstLine="142"/>
        <w:jc w:val="both"/>
        <w:outlineLvl w:val="1"/>
        <w:rPr>
          <w:rFonts w:ascii="Times New Roman" w:hAnsi="Times New Roman" w:eastAsia="Calibri" w:cs="Times New Roman"/>
          <w:b/>
          <w:sz w:val="24"/>
          <w:lang w:eastAsia="en-US"/>
        </w:rPr>
      </w:pPr>
      <w:bookmarkStart w:id="9" w:name="_Toc100148783"/>
      <w:r>
        <w:rPr>
          <w:rFonts w:ascii="Times New Roman" w:hAnsi="Times New Roman" w:eastAsia="Calibri" w:cs="Times New Roman"/>
          <w:b/>
          <w:sz w:val="24"/>
          <w:lang w:eastAsia="en-US"/>
        </w:rPr>
        <w:t>Определение возможности создания ЭС.</w:t>
      </w:r>
      <w:bookmarkEnd w:id="9"/>
    </w:p>
    <w:p w14:paraId="27DDFC17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lang w:eastAsia="en-US"/>
        </w:rPr>
      </w:pPr>
      <w:r>
        <w:rPr>
          <w:rFonts w:ascii="Times New Roman" w:hAnsi="Times New Roman" w:eastAsia="Calibri" w:cs="Times New Roman"/>
          <w:sz w:val="24"/>
          <w:lang w:eastAsia="en-US"/>
        </w:rPr>
        <w:t>Создание ЭС возможно, если факторы, указанные в 3, выполняются одновременно.</w:t>
      </w:r>
    </w:p>
    <w:p w14:paraId="0A1CB6C8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lang w:eastAsia="en-US"/>
        </w:rPr>
      </w:pPr>
      <w:bookmarkStart w:id="10" w:name="_Ref100147340"/>
      <w:r>
        <w:rPr>
          <w:rFonts w:ascii="Times New Roman" w:hAnsi="Times New Roman" w:eastAsia="Calibri" w:cs="Times New Roman"/>
          <w:sz w:val="24"/>
          <w:lang w:eastAsia="en-US"/>
        </w:rPr>
        <w:t xml:space="preserve">Таблица </w: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begin"/>
      </w:r>
      <w:r>
        <w:rPr>
          <w:rFonts w:ascii="Times New Roman" w:hAnsi="Times New Roman" w:eastAsia="Calibri" w:cs="Times New Roman"/>
          <w:sz w:val="24"/>
          <w:lang w:eastAsia="en-US"/>
        </w:rPr>
        <w:instrText xml:space="preserve"> SEQ Таблица \* ARABIC </w:instrTex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separate"/>
      </w:r>
      <w:r>
        <w:rPr>
          <w:rFonts w:ascii="Times New Roman" w:hAnsi="Times New Roman" w:eastAsia="Calibri" w:cs="Times New Roman"/>
          <w:sz w:val="24"/>
          <w:lang w:eastAsia="en-US"/>
        </w:rPr>
        <w:t>3</w: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end"/>
      </w:r>
      <w:bookmarkEnd w:id="10"/>
      <w:r>
        <w:rPr>
          <w:rFonts w:ascii="Times New Roman" w:hAnsi="Times New Roman" w:eastAsia="Calibri" w:cs="Times New Roman"/>
          <w:sz w:val="24"/>
          <w:lang w:eastAsia="en-US"/>
        </w:rPr>
        <w:t xml:space="preserve"> – Определение возможности создания ЭС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5BE6C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2" w:type="dxa"/>
          </w:tcPr>
          <w:p w14:paraId="0A9CC185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eastAsia="en-US"/>
              </w:rPr>
              <w:t>Факторы</w:t>
            </w:r>
          </w:p>
        </w:tc>
        <w:tc>
          <w:tcPr>
            <w:tcW w:w="4673" w:type="dxa"/>
          </w:tcPr>
          <w:p w14:paraId="3AB8BAE6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eastAsia="en-US"/>
              </w:rPr>
              <w:t>Наличие</w:t>
            </w:r>
          </w:p>
        </w:tc>
      </w:tr>
      <w:tr w14:paraId="54200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3FE5B6F2">
            <w:pPr>
              <w:spacing w:after="0" w:line="360" w:lineRule="auto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  <w:t>Существуют эксперты в данной ПрО, которые решают задачи лучше, чем начинающие специалисты</w:t>
            </w:r>
          </w:p>
        </w:tc>
        <w:tc>
          <w:tcPr>
            <w:tcW w:w="4673" w:type="dxa"/>
          </w:tcPr>
          <w:p w14:paraId="6AA84305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t>+, Опытные плиточники, строители и специалисты по отделке Эксперты сходятся в оценке предлагаемого решения</w:t>
            </w:r>
          </w:p>
        </w:tc>
      </w:tr>
      <w:tr w14:paraId="57495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6AB613CD">
            <w:pPr>
              <w:spacing w:after="0" w:line="360" w:lineRule="auto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  <w:t>Эксперты сходятся в оценке предлагаемого решения</w:t>
            </w:r>
          </w:p>
        </w:tc>
        <w:tc>
          <w:tcPr>
            <w:tcW w:w="4673" w:type="dxa"/>
          </w:tcPr>
          <w:p w14:paraId="66229209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t>+, Мнения опытных плиточников и инструкций по укладке совпадают по ключевым факторам выбора метода Эксперты способны вербализовать естественным языком и объяснить используемые ими методы</w:t>
            </w:r>
          </w:p>
        </w:tc>
      </w:tr>
      <w:tr w14:paraId="3E9E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33EA5C9B">
            <w:pPr>
              <w:spacing w:after="0" w:line="360" w:lineRule="auto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  <w:t>Эксперты способны вербализовать естественным языком и объяснить используемые ими методы</w:t>
            </w:r>
          </w:p>
        </w:tc>
        <w:tc>
          <w:tcPr>
            <w:tcW w:w="4673" w:type="dxa"/>
          </w:tcPr>
          <w:p w14:paraId="40EF7D13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t>+, Существует множество статей, видео-инструкций и рекомендаций по выбору способа укладки плитки</w:t>
            </w:r>
          </w:p>
        </w:tc>
      </w:tr>
      <w:tr w14:paraId="1868B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548F4331">
            <w:pPr>
              <w:spacing w:after="0" w:line="360" w:lineRule="auto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  <w:t>Решение задачи требуют только рассуждений, а не действий</w:t>
            </w:r>
          </w:p>
        </w:tc>
        <w:tc>
          <w:tcPr>
            <w:tcW w:w="4673" w:type="dxa"/>
          </w:tcPr>
          <w:p w14:paraId="17119408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t>+, Для выбора способа укладки достаточно знать состояние внешних факторов, на основе которых можно сделать логические выводы</w:t>
            </w:r>
          </w:p>
        </w:tc>
      </w:tr>
      <w:tr w14:paraId="399EB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4672" w:type="dxa"/>
          </w:tcPr>
          <w:p w14:paraId="04A4C906">
            <w:pPr>
              <w:spacing w:after="0" w:line="360" w:lineRule="auto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  <w:t>Задача не должна быть слишком тяжелой</w:t>
            </w:r>
          </w:p>
        </w:tc>
        <w:tc>
          <w:tcPr>
            <w:tcW w:w="4673" w:type="dxa"/>
          </w:tcPr>
          <w:p w14:paraId="40C0A5A0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t>+, Задача может быть решена одним экспертом за определенный промежуток времени</w:t>
            </w:r>
          </w:p>
        </w:tc>
      </w:tr>
      <w:tr w14:paraId="4ED9A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191F9E9D">
            <w:pPr>
              <w:spacing w:after="0" w:line="360" w:lineRule="auto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  <w:t xml:space="preserve">Задача должна относиться к достаточно структурированной области </w:t>
            </w:r>
          </w:p>
        </w:tc>
        <w:tc>
          <w:tcPr>
            <w:tcW w:w="4673" w:type="dxa"/>
          </w:tcPr>
          <w:p w14:paraId="6D14B7BC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t>+, Основные понятия и отношения между ними, и способы получения решения выделены</w:t>
            </w:r>
          </w:p>
        </w:tc>
      </w:tr>
    </w:tbl>
    <w:p w14:paraId="4EBFAC03">
      <w:pPr>
        <w:pStyle w:val="10"/>
        <w:keepNext w:val="0"/>
        <w:keepLines w:val="0"/>
        <w:widowControl/>
        <w:suppressLineNumbers w:val="0"/>
        <w:ind w:firstLine="708" w:firstLineChars="0"/>
      </w:pPr>
      <w:bookmarkStart w:id="11" w:name="_Toc100148784"/>
      <w:r>
        <w:t>Создание ЭС «Выбор способа укладки плитки» возможно, потому что все факторы выполняются одновременно.</w:t>
      </w:r>
    </w:p>
    <w:p w14:paraId="035CD505">
      <w:pPr>
        <w:pStyle w:val="15"/>
        <w:keepNext/>
        <w:keepLines/>
        <w:numPr>
          <w:ilvl w:val="0"/>
          <w:numId w:val="2"/>
        </w:numPr>
        <w:tabs>
          <w:tab w:val="left" w:pos="142"/>
        </w:tabs>
        <w:spacing w:after="0" w:line="360" w:lineRule="auto"/>
        <w:ind w:left="0" w:firstLine="142"/>
        <w:jc w:val="both"/>
        <w:outlineLvl w:val="1"/>
        <w:rPr>
          <w:rFonts w:ascii="Times New Roman" w:hAnsi="Times New Roman" w:eastAsia="Calibri" w:cs="Times New Roman"/>
          <w:b/>
          <w:sz w:val="24"/>
          <w:lang w:eastAsia="en-US"/>
        </w:rPr>
      </w:pPr>
      <w:r>
        <w:rPr>
          <w:rFonts w:ascii="Times New Roman" w:hAnsi="Times New Roman" w:eastAsia="Calibri" w:cs="Times New Roman"/>
          <w:b/>
          <w:sz w:val="24"/>
          <w:lang w:eastAsia="en-US"/>
        </w:rPr>
        <w:t>Определение оправданности применения ЭС</w:t>
      </w:r>
      <w:bookmarkEnd w:id="11"/>
      <w:r>
        <w:rPr>
          <w:rFonts w:ascii="Times New Roman" w:hAnsi="Times New Roman" w:eastAsia="Calibri" w:cs="Times New Roman"/>
          <w:b/>
          <w:sz w:val="24"/>
          <w:lang w:val="en-US" w:eastAsia="en-US"/>
        </w:rPr>
        <w:t>.</w:t>
      </w:r>
    </w:p>
    <w:p w14:paraId="1B64DB0A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lang w:eastAsia="en-US"/>
        </w:rPr>
      </w:pPr>
      <w:r>
        <w:rPr>
          <w:rFonts w:ascii="Times New Roman" w:hAnsi="Times New Roman" w:eastAsia="Calibri" w:cs="Times New Roman"/>
          <w:sz w:val="24"/>
          <w:lang w:eastAsia="en-US"/>
        </w:rPr>
        <w:t>Применение ЭС «Выбор филамента для 3-</w:t>
      </w:r>
      <w:r>
        <w:rPr>
          <w:rFonts w:ascii="Times New Roman" w:hAnsi="Times New Roman" w:eastAsia="Calibri" w:cs="Times New Roman"/>
          <w:sz w:val="24"/>
          <w:lang w:val="en-US" w:eastAsia="en-US"/>
        </w:rPr>
        <w:t>D</w:t>
      </w:r>
      <w:r>
        <w:rPr>
          <w:rFonts w:ascii="Times New Roman" w:hAnsi="Times New Roman" w:eastAsia="Calibri" w:cs="Times New Roman"/>
          <w:sz w:val="24"/>
          <w:lang w:eastAsia="en-US"/>
        </w:rPr>
        <w:t xml:space="preserve"> печати» оправдано потому, что:</w:t>
      </w:r>
    </w:p>
    <w:p w14:paraId="312C3FA3">
      <w:pPr>
        <w:pStyle w:val="10"/>
        <w:keepNext w:val="0"/>
        <w:keepLines w:val="0"/>
        <w:widowControl/>
        <w:numPr>
          <w:numId w:val="0"/>
        </w:numPr>
        <w:suppressLineNumbers w:val="0"/>
        <w:ind w:right="0" w:rightChars="0" w:firstLine="708" w:firstLineChars="0"/>
      </w:pPr>
      <w:r>
        <w:t>От выбора способа укладки зависит качество и долговечность покрытия, отсутствие трещин, отслоений и дефектов. Правильный метод повышает шансы на получение требуемого результата, тем самым снижая затраты на переделку.</w:t>
      </w:r>
    </w:p>
    <w:p w14:paraId="74EB1D72">
      <w:pPr>
        <w:pStyle w:val="10"/>
        <w:keepNext w:val="0"/>
        <w:keepLines w:val="0"/>
        <w:widowControl/>
        <w:suppressLineNumbers w:val="0"/>
        <w:ind w:firstLine="708" w:firstLineChars="0"/>
      </w:pPr>
      <w:r>
        <w:t>От выбора способа укладки зависит здоровье человека, так как существуют токсичные клеи, затирки и пыль при резке. Учёт мер предосторожности позволяет снизить риски отравления и аллергии.</w:t>
      </w:r>
    </w:p>
    <w:p w14:paraId="55B5AE66">
      <w:pPr>
        <w:pStyle w:val="10"/>
        <w:keepNext w:val="0"/>
        <w:keepLines w:val="0"/>
        <w:widowControl/>
        <w:suppressLineNumbers w:val="0"/>
        <w:ind w:firstLine="708" w:firstLineChars="0"/>
      </w:pPr>
      <w:r>
        <w:t>От выбора способа укладки зависят денежные затраты. Знание оптимального метода при данных условиях позволяет добиться требуемого результата за минимально возможные средства без потери качества.</w:t>
      </w:r>
    </w:p>
    <w:p w14:paraId="093D94DF">
      <w:pPr>
        <w:pStyle w:val="10"/>
        <w:keepNext w:val="0"/>
        <w:keepLines w:val="0"/>
        <w:widowControl/>
        <w:suppressLineNumbers w:val="0"/>
        <w:ind w:firstLine="708" w:firstLineChars="0"/>
      </w:pPr>
      <w:bookmarkStart w:id="12" w:name="_Toc100148785"/>
      <w:r>
        <w:t>Во время ремонта крайне затруднительно получить консультацию у эксперта на месте, а получение консультации заранее не учитывает изменение условий (влажность, температура), в данном случае экспертная система оправдана.</w:t>
      </w:r>
    </w:p>
    <w:p w14:paraId="4253426C">
      <w:pPr>
        <w:pStyle w:val="10"/>
        <w:keepNext w:val="0"/>
        <w:keepLines w:val="0"/>
        <w:widowControl/>
        <w:suppressLineNumbers w:val="0"/>
        <w:ind w:firstLine="708" w:firstLineChars="0"/>
      </w:pPr>
      <w:r>
        <w:t>Определение соответствия проектируемой системы методам ЭС Создаваемая система соответствует методам ЭС, если задача обладает одновременно</w:t>
      </w:r>
    </w:p>
    <w:p w14:paraId="0F891805">
      <w:pPr>
        <w:pStyle w:val="15"/>
        <w:keepNext/>
        <w:keepLines/>
        <w:numPr>
          <w:ilvl w:val="0"/>
          <w:numId w:val="2"/>
        </w:numPr>
        <w:tabs>
          <w:tab w:val="left" w:pos="142"/>
        </w:tabs>
        <w:spacing w:after="0" w:line="360" w:lineRule="auto"/>
        <w:ind w:left="0" w:firstLine="142"/>
        <w:jc w:val="both"/>
        <w:outlineLvl w:val="1"/>
        <w:rPr>
          <w:rFonts w:ascii="Times New Roman" w:hAnsi="Times New Roman" w:eastAsia="Calibri" w:cs="Times New Roman"/>
          <w:b/>
          <w:sz w:val="24"/>
          <w:lang w:eastAsia="en-US"/>
        </w:rPr>
      </w:pPr>
      <w:r>
        <w:rPr>
          <w:rFonts w:ascii="Times New Roman" w:hAnsi="Times New Roman" w:eastAsia="Calibri" w:cs="Times New Roman"/>
          <w:b/>
          <w:sz w:val="24"/>
          <w:lang w:eastAsia="en-US"/>
        </w:rPr>
        <w:t>Определение соответствия проектируемой системы методам ЭС</w:t>
      </w:r>
      <w:bookmarkEnd w:id="12"/>
    </w:p>
    <w:p w14:paraId="196B4179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lang w:eastAsia="en-US"/>
        </w:rPr>
      </w:pPr>
      <w:r>
        <w:rPr>
          <w:rFonts w:ascii="Times New Roman" w:hAnsi="Times New Roman" w:eastAsia="Calibri" w:cs="Times New Roman"/>
          <w:sz w:val="24"/>
          <w:lang w:eastAsia="en-US"/>
        </w:rPr>
        <w:t xml:space="preserve">Создаваемая система соответствует методам ЭС, если задача обладает одновременно характеристиками, указанными в </w:t>
      </w:r>
      <w:r>
        <w:fldChar w:fldCharType="begin"/>
      </w:r>
      <w:r>
        <w:instrText xml:space="preserve"> REF _Ref100148220 \h  \* MERGEFORMAT </w:instrText>
      </w:r>
      <w:r>
        <w:fldChar w:fldCharType="separate"/>
      </w:r>
      <w:r>
        <w:rPr>
          <w:rFonts w:ascii="Times New Roman" w:hAnsi="Times New Roman" w:eastAsia="Calibri" w:cs="Times New Roman"/>
          <w:sz w:val="24"/>
          <w:lang w:eastAsia="en-US"/>
        </w:rPr>
        <w:t>Таблице 4</w:t>
      </w:r>
      <w:r>
        <w:fldChar w:fldCharType="end"/>
      </w:r>
      <w:r>
        <w:rPr>
          <w:rFonts w:ascii="Times New Roman" w:hAnsi="Times New Roman" w:eastAsia="Calibri" w:cs="Times New Roman"/>
          <w:sz w:val="24"/>
          <w:lang w:eastAsia="en-US"/>
        </w:rPr>
        <w:t>.</w:t>
      </w:r>
    </w:p>
    <w:p w14:paraId="42BB87A3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lang w:eastAsia="en-US"/>
        </w:rPr>
      </w:pPr>
      <w:bookmarkStart w:id="13" w:name="_Ref100148220"/>
      <w:r>
        <w:rPr>
          <w:rFonts w:ascii="Times New Roman" w:hAnsi="Times New Roman" w:eastAsia="Calibri" w:cs="Times New Roman"/>
          <w:sz w:val="24"/>
          <w:lang w:eastAsia="en-US"/>
        </w:rPr>
        <w:t xml:space="preserve">Таблица </w: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begin"/>
      </w:r>
      <w:r>
        <w:rPr>
          <w:rFonts w:ascii="Times New Roman" w:hAnsi="Times New Roman" w:eastAsia="Calibri" w:cs="Times New Roman"/>
          <w:sz w:val="24"/>
          <w:lang w:eastAsia="en-US"/>
        </w:rPr>
        <w:instrText xml:space="preserve"> SEQ Таблица \* ARABIC </w:instrTex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separate"/>
      </w:r>
      <w:r>
        <w:rPr>
          <w:rFonts w:ascii="Times New Roman" w:hAnsi="Times New Roman" w:eastAsia="Calibri" w:cs="Times New Roman"/>
          <w:sz w:val="24"/>
          <w:lang w:eastAsia="en-US"/>
        </w:rPr>
        <w:t>4</w:t>
      </w:r>
      <w:r>
        <w:rPr>
          <w:rFonts w:ascii="Times New Roman" w:hAnsi="Times New Roman" w:eastAsia="Calibri" w:cs="Times New Roman"/>
          <w:sz w:val="24"/>
          <w:lang w:eastAsia="en-US"/>
        </w:rPr>
        <w:fldChar w:fldCharType="end"/>
      </w:r>
      <w:bookmarkEnd w:id="13"/>
      <w:r>
        <w:rPr>
          <w:rFonts w:ascii="Times New Roman" w:hAnsi="Times New Roman" w:eastAsia="Calibri" w:cs="Times New Roman"/>
          <w:sz w:val="24"/>
          <w:lang w:eastAsia="en-US"/>
        </w:rPr>
        <w:t xml:space="preserve"> – Определение соответствия проектируемой системы методам ЭС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4016D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2F4F5966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eastAsia="en-US"/>
              </w:rPr>
              <w:t>Характеристики</w:t>
            </w:r>
          </w:p>
        </w:tc>
        <w:tc>
          <w:tcPr>
            <w:tcW w:w="4673" w:type="dxa"/>
          </w:tcPr>
          <w:p w14:paraId="12256816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eastAsia="en-US"/>
              </w:rPr>
              <w:t>Наличие</w:t>
            </w:r>
          </w:p>
        </w:tc>
      </w:tr>
      <w:tr w14:paraId="74B6D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479579BF">
            <w:pPr>
              <w:spacing w:after="0" w:line="360" w:lineRule="auto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  <w:t>Задача может быть решена с помощью манипуляции с символами, а не с числами</w:t>
            </w:r>
          </w:p>
        </w:tc>
        <w:tc>
          <w:tcPr>
            <w:tcW w:w="4673" w:type="dxa"/>
          </w:tcPr>
          <w:p w14:paraId="4C6C604A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t>+, Решение задачи основывается на выводах, которые могут быть записаны в символьном виде</w:t>
            </w:r>
          </w:p>
        </w:tc>
      </w:tr>
      <w:tr w14:paraId="289A0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2474FAC0">
            <w:pPr>
              <w:spacing w:after="0" w:line="360" w:lineRule="auto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  <w:t>Задача имеет эвристическую природу</w:t>
            </w:r>
          </w:p>
        </w:tc>
        <w:tc>
          <w:tcPr>
            <w:tcW w:w="4673" w:type="dxa"/>
          </w:tcPr>
          <w:p w14:paraId="36C46D18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t>, Задача решается нелинейно, возможные решения можно представить в виде дерева</w:t>
            </w:r>
          </w:p>
        </w:tc>
      </w:tr>
      <w:tr w14:paraId="79165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381665FE">
            <w:pPr>
              <w:spacing w:after="0" w:line="360" w:lineRule="auto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  <w:t>Задача должна быть достаточно сложной, но не чрезмерно</w:t>
            </w:r>
          </w:p>
        </w:tc>
        <w:tc>
          <w:tcPr>
            <w:tcW w:w="4673" w:type="dxa"/>
          </w:tcPr>
          <w:p w14:paraId="4E539F62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t>+, ЭС может решить данную задачу</w:t>
            </w:r>
          </w:p>
        </w:tc>
      </w:tr>
      <w:tr w14:paraId="59F45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684E5369">
            <w:pPr>
              <w:spacing w:after="0" w:line="360" w:lineRule="auto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  <w:t>Задача должна быть достаточно узкой и практически значимой</w:t>
            </w:r>
          </w:p>
        </w:tc>
        <w:tc>
          <w:tcPr>
            <w:tcW w:w="4673" w:type="dxa"/>
          </w:tcPr>
          <w:p w14:paraId="1FE2C6E0">
            <w:pPr>
              <w:pStyle w:val="10"/>
              <w:keepNext w:val="0"/>
              <w:keepLines w:val="0"/>
              <w:widowControl/>
              <w:suppressLineNumbers w:val="0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t>+, Выбор способа укладки плитки можно считать узкой задачей и значимой, поскольку от этого зависит качество покрытия, денежные затраты и здоровье человека</w:t>
            </w:r>
          </w:p>
        </w:tc>
      </w:tr>
    </w:tbl>
    <w:p w14:paraId="36D8D6D1">
      <w:pPr>
        <w:pStyle w:val="10"/>
        <w:keepNext w:val="0"/>
        <w:keepLines w:val="0"/>
        <w:widowControl/>
        <w:suppressLineNumbers w:val="0"/>
        <w:ind w:firstLine="708" w:firstLineChars="0"/>
      </w:pPr>
      <w:bookmarkStart w:id="14" w:name="_Toc100148786"/>
      <w:r>
        <w:t>Экспертная система «Выбор способа укладки плитки» соответствует методам ЭС, потому что все факторы выполняются одновременно.</w:t>
      </w:r>
    </w:p>
    <w:p w14:paraId="0AE90925">
      <w:pPr>
        <w:keepNext/>
        <w:keepLines/>
        <w:spacing w:before="240" w:after="0" w:line="360" w:lineRule="auto"/>
        <w:ind w:firstLine="709"/>
        <w:jc w:val="center"/>
        <w:outlineLvl w:val="0"/>
        <w:rPr>
          <w:rFonts w:ascii="Times New Roman" w:hAnsi="Times New Roman" w:eastAsia="Times New Roman" w:cs="Times New Roman"/>
          <w:caps/>
          <w:sz w:val="24"/>
          <w:szCs w:val="32"/>
          <w:lang w:eastAsia="en-US"/>
        </w:rPr>
      </w:pPr>
      <w:r>
        <w:rPr>
          <w:rFonts w:ascii="Times New Roman" w:hAnsi="Times New Roman" w:eastAsia="Times New Roman" w:cs="Times New Roman"/>
          <w:caps/>
          <w:sz w:val="24"/>
          <w:szCs w:val="32"/>
          <w:lang w:eastAsia="en-US"/>
        </w:rPr>
        <w:t>ЗАКЛЮЧЕНИЕ</w:t>
      </w:r>
      <w:bookmarkEnd w:id="14"/>
    </w:p>
    <w:p w14:paraId="6D0DC925">
      <w:pPr>
        <w:pStyle w:val="10"/>
        <w:keepNext w:val="0"/>
        <w:keepLines w:val="0"/>
        <w:widowControl/>
        <w:suppressLineNumbers w:val="0"/>
        <w:ind w:firstLine="708" w:firstLineChars="0"/>
      </w:pPr>
      <w:r>
        <w:t>В ходе работы была описана предметная область, а также были выделены входные данные, результат и определены их значения. Затем была рассмотрена возможность создания экспертной системы «Выбор способа укладки плитки», её оправданность и соответствие методам ЭС. В результате приходим к выводу, что экспертная система «Выбор способа укладки плитки» обладает всеми необходимыми для создания характеристиками и может быть</w:t>
      </w:r>
    </w:p>
    <w:p w14:paraId="291079F4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lang w:eastAsia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227462"/>
    <w:multiLevelType w:val="multilevel"/>
    <w:tmpl w:val="18227462"/>
    <w:lvl w:ilvl="0" w:tentative="0">
      <w:start w:val="1"/>
      <w:numFmt w:val="decimal"/>
      <w:lvlText w:val="%1."/>
      <w:lvlJc w:val="left"/>
      <w:pPr>
        <w:ind w:left="862" w:hanging="360"/>
      </w:pPr>
    </w:lvl>
    <w:lvl w:ilvl="1" w:tentative="0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636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843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41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617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184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3391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3958" w:hanging="1800"/>
      </w:pPr>
      <w:rPr>
        <w:rFonts w:hint="default"/>
      </w:rPr>
    </w:lvl>
  </w:abstractNum>
  <w:abstractNum w:abstractNumId="1">
    <w:nsid w:val="41A109C0"/>
    <w:multiLevelType w:val="multilevel"/>
    <w:tmpl w:val="41A109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pStyle w:val="16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E50"/>
    <w:rsid w:val="0000356F"/>
    <w:rsid w:val="000471A6"/>
    <w:rsid w:val="00080BC6"/>
    <w:rsid w:val="000A7AF2"/>
    <w:rsid w:val="000F4234"/>
    <w:rsid w:val="00131208"/>
    <w:rsid w:val="00147B3D"/>
    <w:rsid w:val="001B1945"/>
    <w:rsid w:val="001E5AA7"/>
    <w:rsid w:val="0021413F"/>
    <w:rsid w:val="0023727C"/>
    <w:rsid w:val="0027733A"/>
    <w:rsid w:val="00281E9C"/>
    <w:rsid w:val="00295B68"/>
    <w:rsid w:val="002C03E5"/>
    <w:rsid w:val="00300891"/>
    <w:rsid w:val="0037787E"/>
    <w:rsid w:val="003A0445"/>
    <w:rsid w:val="003E369E"/>
    <w:rsid w:val="003F4BFD"/>
    <w:rsid w:val="004367CB"/>
    <w:rsid w:val="00462746"/>
    <w:rsid w:val="00464815"/>
    <w:rsid w:val="00495E2F"/>
    <w:rsid w:val="004C71E0"/>
    <w:rsid w:val="004E0D43"/>
    <w:rsid w:val="004E7F86"/>
    <w:rsid w:val="00514C03"/>
    <w:rsid w:val="005A0C46"/>
    <w:rsid w:val="005B6599"/>
    <w:rsid w:val="005C068A"/>
    <w:rsid w:val="005C4F6C"/>
    <w:rsid w:val="005F31DF"/>
    <w:rsid w:val="0063106C"/>
    <w:rsid w:val="00690CD2"/>
    <w:rsid w:val="006973D2"/>
    <w:rsid w:val="006E1958"/>
    <w:rsid w:val="006F320E"/>
    <w:rsid w:val="00703D58"/>
    <w:rsid w:val="007225B8"/>
    <w:rsid w:val="0073434B"/>
    <w:rsid w:val="00734B48"/>
    <w:rsid w:val="007C3A70"/>
    <w:rsid w:val="008005EC"/>
    <w:rsid w:val="0081338C"/>
    <w:rsid w:val="00846D7E"/>
    <w:rsid w:val="0085407E"/>
    <w:rsid w:val="008B632C"/>
    <w:rsid w:val="008C7FE9"/>
    <w:rsid w:val="0091059F"/>
    <w:rsid w:val="009208B1"/>
    <w:rsid w:val="0096411F"/>
    <w:rsid w:val="00971D3D"/>
    <w:rsid w:val="009E68B5"/>
    <w:rsid w:val="00A11052"/>
    <w:rsid w:val="00A2197C"/>
    <w:rsid w:val="00A70C4A"/>
    <w:rsid w:val="00AB598B"/>
    <w:rsid w:val="00AE52C2"/>
    <w:rsid w:val="00B15E3C"/>
    <w:rsid w:val="00B203E9"/>
    <w:rsid w:val="00B36356"/>
    <w:rsid w:val="00B55E53"/>
    <w:rsid w:val="00B901AC"/>
    <w:rsid w:val="00B918FB"/>
    <w:rsid w:val="00B91BAB"/>
    <w:rsid w:val="00BD0ABD"/>
    <w:rsid w:val="00BE7412"/>
    <w:rsid w:val="00C339A2"/>
    <w:rsid w:val="00C36175"/>
    <w:rsid w:val="00CA7FB7"/>
    <w:rsid w:val="00CC6586"/>
    <w:rsid w:val="00CE173E"/>
    <w:rsid w:val="00CF0632"/>
    <w:rsid w:val="00CF3C65"/>
    <w:rsid w:val="00CF57F1"/>
    <w:rsid w:val="00D43E50"/>
    <w:rsid w:val="00D44738"/>
    <w:rsid w:val="00D52307"/>
    <w:rsid w:val="00D8277A"/>
    <w:rsid w:val="00E36865"/>
    <w:rsid w:val="00E42EED"/>
    <w:rsid w:val="00E60389"/>
    <w:rsid w:val="00E75788"/>
    <w:rsid w:val="00E901C6"/>
    <w:rsid w:val="00EB35C5"/>
    <w:rsid w:val="00F222F7"/>
    <w:rsid w:val="00FB63F0"/>
    <w:rsid w:val="00FC224E"/>
    <w:rsid w:val="3FCC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toc 1"/>
    <w:basedOn w:val="1"/>
    <w:next w:val="1"/>
    <w:autoRedefine/>
    <w:unhideWhenUsed/>
    <w:uiPriority w:val="39"/>
    <w:pPr>
      <w:spacing w:after="100"/>
    </w:pPr>
  </w:style>
  <w:style w:type="paragraph" w:styleId="9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1">
    <w:name w:val="Table Grid"/>
    <w:basedOn w:val="4"/>
    <w:uiPriority w:val="39"/>
    <w:pPr>
      <w:spacing w:after="0" w:line="240" w:lineRule="auto"/>
    </w:pPr>
    <w:rPr>
      <w:rFonts w:eastAsia="Calibri"/>
      <w:sz w:val="24"/>
      <w:szCs w:val="24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Заголовок 1 Знак"/>
    <w:basedOn w:val="3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customStyle="1" w:styleId="13">
    <w:name w:val="TOC Heading"/>
    <w:basedOn w:val="2"/>
    <w:next w:val="1"/>
    <w:semiHidden/>
    <w:unhideWhenUsed/>
    <w:qFormat/>
    <w:uiPriority w:val="39"/>
    <w:pPr>
      <w:outlineLvl w:val="9"/>
    </w:pPr>
    <w:rPr>
      <w:lang w:eastAsia="en-US"/>
    </w:rPr>
  </w:style>
  <w:style w:type="character" w:customStyle="1" w:styleId="14">
    <w:name w:val="Текст выноски Знак"/>
    <w:basedOn w:val="3"/>
    <w:link w:val="6"/>
    <w:semiHidden/>
    <w:uiPriority w:val="99"/>
    <w:rPr>
      <w:rFonts w:ascii="Tahoma" w:hAnsi="Tahoma" w:cs="Tahoma"/>
      <w:sz w:val="16"/>
      <w:szCs w:val="16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paragraph" w:customStyle="1" w:styleId="16">
    <w:name w:val="ЛР1. Заголовок №3"/>
    <w:basedOn w:val="15"/>
    <w:next w:val="1"/>
    <w:link w:val="17"/>
    <w:qFormat/>
    <w:uiPriority w:val="0"/>
    <w:pPr>
      <w:keepNext/>
      <w:keepLines/>
      <w:numPr>
        <w:ilvl w:val="2"/>
        <w:numId w:val="1"/>
      </w:numPr>
      <w:tabs>
        <w:tab w:val="left" w:pos="142"/>
        <w:tab w:val="clear" w:pos="2160"/>
      </w:tabs>
      <w:spacing w:after="0" w:line="360" w:lineRule="auto"/>
      <w:ind w:left="0" w:firstLine="142"/>
      <w:jc w:val="both"/>
      <w:outlineLvl w:val="1"/>
    </w:pPr>
    <w:rPr>
      <w:rFonts w:ascii="Times New Roman" w:hAnsi="Times New Roman" w:eastAsiaTheme="minorHAnsi"/>
      <w:sz w:val="24"/>
      <w:lang w:eastAsia="en-US"/>
    </w:rPr>
  </w:style>
  <w:style w:type="character" w:customStyle="1" w:styleId="17">
    <w:name w:val="ЛР1. Заголовок №3 Знак"/>
    <w:basedOn w:val="3"/>
    <w:link w:val="16"/>
    <w:qFormat/>
    <w:uiPriority w:val="0"/>
    <w:rPr>
      <w:rFonts w:ascii="Times New Roman" w:hAnsi="Times New Roman" w:eastAsiaTheme="minorHAnsi"/>
      <w:sz w:val="24"/>
      <w:lang w:eastAsia="en-US"/>
    </w:rPr>
  </w:style>
  <w:style w:type="table" w:customStyle="1" w:styleId="18">
    <w:name w:val="Сетка таблицы1"/>
    <w:basedOn w:val="4"/>
    <w:uiPriority w:val="39"/>
    <w:pPr>
      <w:spacing w:after="0" w:line="240" w:lineRule="auto"/>
    </w:pPr>
    <w:rPr>
      <w:rFonts w:eastAsia="Calibr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Сетка таблицы2"/>
    <w:basedOn w:val="4"/>
    <w:uiPriority w:val="39"/>
    <w:pPr>
      <w:spacing w:after="0" w:line="240" w:lineRule="auto"/>
    </w:pPr>
    <w:rPr>
      <w:rFonts w:eastAsia="Calibr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1DA8EB-340B-4E80-AB75-0AE3CC81EC7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7</Pages>
  <Words>972</Words>
  <Characters>5546</Characters>
  <Lines>46</Lines>
  <Paragraphs>13</Paragraphs>
  <TotalTime>88</TotalTime>
  <ScaleCrop>false</ScaleCrop>
  <LinksUpToDate>false</LinksUpToDate>
  <CharactersWithSpaces>6505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2026-02-11T08:21:00Z</dcterms:created>
  <dc:creator>Дмитрий</dc:creator>
  <cp:lastModifiedBy>Ivan</cp:lastModifiedBy>
  <dcterms:modified xsi:type="dcterms:W3CDTF">2026-04-06T18:38:12Z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845682459AEB49D1921CE3912348CC3A_13</vt:lpwstr>
  </property>
</Properties>
</file>