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1E" w:rsidRDefault="00385E1E" w:rsidP="00385E1E">
      <w:pPr>
        <w:pStyle w:val="Heading1"/>
      </w:pPr>
      <w:bookmarkStart w:id="0" w:name="_GoBack"/>
      <w:bookmarkEnd w:id="0"/>
      <w:r>
        <w:rPr>
          <w:noProof/>
          <w:lang w:val="en-US" w:eastAsia="en-US"/>
        </w:rPr>
        <w:drawing>
          <wp:anchor distT="0" distB="0" distL="114300" distR="114300" simplePos="0" relativeHeight="251659264" behindDoc="1" locked="0" layoutInCell="0" allowOverlap="1">
            <wp:simplePos x="0" y="0"/>
            <wp:positionH relativeFrom="column">
              <wp:posOffset>4585335</wp:posOffset>
            </wp:positionH>
            <wp:positionV relativeFrom="paragraph">
              <wp:posOffset>-35560</wp:posOffset>
            </wp:positionV>
            <wp:extent cx="714375" cy="952500"/>
            <wp:effectExtent l="0" t="0" r="9525" b="0"/>
            <wp:wrapNone/>
            <wp:docPr id="1" name="Picture 1" descr="OU-Combi18mmGS_Supps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Combi18mmGS_Supps_W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952500"/>
                    </a:xfrm>
                    <a:prstGeom prst="rect">
                      <a:avLst/>
                    </a:prstGeom>
                    <a:noFill/>
                    <a:ln>
                      <a:noFill/>
                    </a:ln>
                  </pic:spPr>
                </pic:pic>
              </a:graphicData>
            </a:graphic>
            <wp14:sizeRelH relativeFrom="page">
              <wp14:pctWidth>0</wp14:pctWidth>
            </wp14:sizeRelH>
            <wp14:sizeRelV relativeFrom="page">
              <wp14:pctHeight>0</wp14:pctHeight>
            </wp14:sizeRelV>
          </wp:anchor>
        </w:drawing>
      </w:r>
      <w:r>
        <w:t>Project Progress Report (</w:t>
      </w:r>
      <w:r w:rsidR="00DF6903">
        <w:t>Maintenance</w:t>
      </w:r>
      <w:r>
        <w:t xml:space="preserve"> Course)</w:t>
      </w:r>
    </w:p>
    <w:p w:rsidR="00385E1E" w:rsidRDefault="00385E1E" w:rsidP="00385E1E">
      <w:r>
        <w:rPr>
          <w:rStyle w:val="ITcItalic"/>
        </w:rPr>
        <w:t>Course/project code and title:</w:t>
      </w:r>
      <w:r>
        <w:t xml:space="preserve"> T215 </w:t>
      </w:r>
      <w:r w:rsidR="00C036B6" w:rsidRPr="00C036B6">
        <w:t>Communication and information technologies</w:t>
      </w:r>
    </w:p>
    <w:p w:rsidR="00385E1E" w:rsidRDefault="00385E1E" w:rsidP="00385E1E">
      <w:r w:rsidRPr="00DF6903">
        <w:rPr>
          <w:i/>
        </w:rPr>
        <w:t>Presentation date</w:t>
      </w:r>
      <w:r w:rsidRPr="00AD43C5">
        <w:t>:</w:t>
      </w:r>
      <w:r>
        <w:t xml:space="preserve"> May 2014 (2014J)</w:t>
      </w:r>
    </w:p>
    <w:p w:rsidR="00DF6903" w:rsidRPr="00DF6903" w:rsidRDefault="00DF6903" w:rsidP="00385E1E">
      <w:pPr>
        <w:rPr>
          <w:i/>
        </w:rPr>
      </w:pPr>
      <w:r>
        <w:rPr>
          <w:i/>
        </w:rPr>
        <w:t xml:space="preserve">Section covered by this report: </w:t>
      </w:r>
      <w:r w:rsidRPr="00621499">
        <w:rPr>
          <w:b/>
          <w:i/>
        </w:rPr>
        <w:t>WordPress installation for Block 3</w:t>
      </w:r>
    </w:p>
    <w:p w:rsidR="00385E1E" w:rsidRDefault="00385E1E" w:rsidP="00385E1E">
      <w:r>
        <w:rPr>
          <w:rStyle w:val="ITcItalic"/>
        </w:rPr>
        <w:t>Date:</w:t>
      </w:r>
      <w:r>
        <w:t xml:space="preserve"> </w:t>
      </w:r>
      <w:r w:rsidR="00C47C3B">
        <w:t>19 May 2014</w:t>
      </w:r>
    </w:p>
    <w:p w:rsidR="00385E1E" w:rsidRDefault="00385E1E" w:rsidP="00385E1E">
      <w:r>
        <w:rPr>
          <w:rStyle w:val="ITcItalic"/>
        </w:rPr>
        <w:t xml:space="preserve">Report number: </w:t>
      </w:r>
      <w:r w:rsidR="00DF6903">
        <w:t>1</w:t>
      </w:r>
    </w:p>
    <w:p w:rsidR="00385E1E" w:rsidRDefault="00385E1E" w:rsidP="00385E1E">
      <w:pPr>
        <w:pStyle w:val="Heading2"/>
      </w:pPr>
      <w:r>
        <w:t>Key contacts</w:t>
      </w:r>
    </w:p>
    <w:p w:rsidR="00385E1E" w:rsidRDefault="00385E1E" w:rsidP="00385E1E">
      <w:r>
        <w:rPr>
          <w:rStyle w:val="ITcItalic"/>
        </w:rPr>
        <w:t>Media Project Manager:</w:t>
      </w:r>
      <w:r>
        <w:t xml:space="preserve"> Gareth Hudson</w:t>
      </w:r>
    </w:p>
    <w:p w:rsidR="00385E1E" w:rsidRDefault="00385E1E" w:rsidP="00385E1E">
      <w:r>
        <w:rPr>
          <w:rStyle w:val="ITcItalic"/>
        </w:rPr>
        <w:t>Module Team Chair:</w:t>
      </w:r>
      <w:r>
        <w:t xml:space="preserve"> </w:t>
      </w:r>
      <w:r w:rsidR="00DF6903">
        <w:t xml:space="preserve">Helen </w:t>
      </w:r>
      <w:proofErr w:type="spellStart"/>
      <w:r w:rsidR="00DF6903">
        <w:t>Donelan</w:t>
      </w:r>
      <w:proofErr w:type="spellEnd"/>
    </w:p>
    <w:p w:rsidR="00385E1E" w:rsidRDefault="00385E1E" w:rsidP="00385E1E">
      <w:r>
        <w:rPr>
          <w:rStyle w:val="ITcItalic"/>
        </w:rPr>
        <w:t>Curriculum Manager:</w:t>
      </w:r>
      <w:r>
        <w:t xml:space="preserve"> </w:t>
      </w:r>
      <w:r w:rsidR="00DF6903">
        <w:t>Richard Smith</w:t>
      </w:r>
    </w:p>
    <w:p w:rsidR="00385E1E" w:rsidRDefault="00385E1E" w:rsidP="00385E1E">
      <w:pPr>
        <w:pStyle w:val="THpTableHead"/>
      </w:pPr>
      <w:r w:rsidRPr="0063210A">
        <w:t>Summary</w:t>
      </w:r>
    </w:p>
    <w:tbl>
      <w:tblPr>
        <w:tblW w:w="9344" w:type="dxa"/>
        <w:tblInd w:w="120" w:type="dxa"/>
        <w:tblBorders>
          <w:top w:val="single" w:sz="2" w:space="0" w:color="auto"/>
          <w:bottom w:val="single" w:sz="2" w:space="0" w:color="auto"/>
        </w:tblBorders>
        <w:tblLayout w:type="fixed"/>
        <w:tblLook w:val="0000" w:firstRow="0" w:lastRow="0" w:firstColumn="0" w:lastColumn="0" w:noHBand="0" w:noVBand="0"/>
      </w:tblPr>
      <w:tblGrid>
        <w:gridCol w:w="1548"/>
        <w:gridCol w:w="992"/>
        <w:gridCol w:w="6804"/>
      </w:tblGrid>
      <w:tr w:rsidR="00385E1E" w:rsidTr="004A099A">
        <w:tc>
          <w:tcPr>
            <w:tcW w:w="1548" w:type="dxa"/>
            <w:tcBorders>
              <w:top w:val="single" w:sz="2" w:space="0" w:color="auto"/>
              <w:bottom w:val="single" w:sz="2" w:space="0" w:color="auto"/>
            </w:tcBorders>
          </w:tcPr>
          <w:p w:rsidR="00385E1E" w:rsidRDefault="00385E1E" w:rsidP="004A099A">
            <w:pPr>
              <w:pStyle w:val="CLpColumnHeadLeft"/>
            </w:pPr>
            <w:r>
              <w:t>Project title</w:t>
            </w:r>
          </w:p>
        </w:tc>
        <w:tc>
          <w:tcPr>
            <w:tcW w:w="992" w:type="dxa"/>
            <w:tcBorders>
              <w:top w:val="single" w:sz="2" w:space="0" w:color="auto"/>
              <w:bottom w:val="single" w:sz="2" w:space="0" w:color="auto"/>
            </w:tcBorders>
          </w:tcPr>
          <w:p w:rsidR="00385E1E" w:rsidRDefault="00385E1E" w:rsidP="004A099A">
            <w:pPr>
              <w:pStyle w:val="CLpColumnHeadLeft"/>
            </w:pPr>
            <w:r>
              <w:t>Status</w:t>
            </w:r>
          </w:p>
        </w:tc>
        <w:tc>
          <w:tcPr>
            <w:tcW w:w="6804" w:type="dxa"/>
            <w:tcBorders>
              <w:top w:val="single" w:sz="2" w:space="0" w:color="auto"/>
              <w:bottom w:val="single" w:sz="2" w:space="0" w:color="auto"/>
            </w:tcBorders>
          </w:tcPr>
          <w:p w:rsidR="00385E1E" w:rsidRDefault="00385E1E" w:rsidP="004A099A">
            <w:pPr>
              <w:pStyle w:val="CLpColumnHeadLeft"/>
            </w:pPr>
            <w:r>
              <w:t>Comment</w:t>
            </w:r>
          </w:p>
        </w:tc>
      </w:tr>
      <w:tr w:rsidR="00385E1E" w:rsidRPr="0063210A" w:rsidTr="004A099A">
        <w:tc>
          <w:tcPr>
            <w:tcW w:w="1548" w:type="dxa"/>
          </w:tcPr>
          <w:p w:rsidR="00385E1E" w:rsidRDefault="00385E1E" w:rsidP="004A099A">
            <w:pPr>
              <w:pStyle w:val="TLpTableLeft"/>
            </w:pPr>
            <w:r>
              <w:t>T215</w:t>
            </w:r>
          </w:p>
          <w:p w:rsidR="00385E1E" w:rsidRPr="0063210A" w:rsidRDefault="00DF6903" w:rsidP="004A099A">
            <w:pPr>
              <w:pStyle w:val="TLpTableLeft"/>
            </w:pPr>
            <w:r>
              <w:t>(</w:t>
            </w:r>
            <w:r w:rsidR="00385E1E">
              <w:t>WordPress</w:t>
            </w:r>
            <w:r>
              <w:t>)</w:t>
            </w:r>
          </w:p>
        </w:tc>
        <w:tc>
          <w:tcPr>
            <w:tcW w:w="992" w:type="dxa"/>
          </w:tcPr>
          <w:p w:rsidR="00385E1E" w:rsidRPr="008E21B2" w:rsidRDefault="00385E1E" w:rsidP="004A099A">
            <w:pPr>
              <w:pStyle w:val="TLpTableLeft"/>
              <w:rPr>
                <w:b/>
              </w:rPr>
            </w:pPr>
            <w:r>
              <w:rPr>
                <w:b/>
              </w:rPr>
              <w:t>Green</w:t>
            </w:r>
          </w:p>
        </w:tc>
        <w:tc>
          <w:tcPr>
            <w:tcW w:w="6804" w:type="dxa"/>
          </w:tcPr>
          <w:p w:rsidR="00385E1E" w:rsidRPr="0063210A" w:rsidRDefault="00DF6903" w:rsidP="003F6D9A">
            <w:pPr>
              <w:pStyle w:val="TLpTableLeft"/>
            </w:pPr>
            <w:r>
              <w:t>A test installation of the current latest WordPress version</w:t>
            </w:r>
            <w:r w:rsidR="003F6D9A">
              <w:t xml:space="preserve"> has been made available to Karen and Helen to explore.</w:t>
            </w:r>
          </w:p>
        </w:tc>
      </w:tr>
    </w:tbl>
    <w:p w:rsidR="00385E1E" w:rsidRDefault="00385E1E" w:rsidP="00385E1E">
      <w:pPr>
        <w:pStyle w:val="Heading1"/>
      </w:pPr>
      <w:r>
        <w:t>Summary of LTS Production Resources</w:t>
      </w:r>
    </w:p>
    <w:tbl>
      <w:tblPr>
        <w:tblW w:w="9356" w:type="dxa"/>
        <w:tblInd w:w="115" w:type="dxa"/>
        <w:tblLayout w:type="fixed"/>
        <w:tblCellMar>
          <w:top w:w="115" w:type="dxa"/>
          <w:left w:w="115" w:type="dxa"/>
          <w:bottom w:w="115" w:type="dxa"/>
          <w:right w:w="115" w:type="dxa"/>
        </w:tblCellMar>
        <w:tblLook w:val="0000" w:firstRow="0" w:lastRow="0" w:firstColumn="0" w:lastColumn="0" w:noHBand="0" w:noVBand="0"/>
      </w:tblPr>
      <w:tblGrid>
        <w:gridCol w:w="1418"/>
        <w:gridCol w:w="1843"/>
        <w:gridCol w:w="2268"/>
        <w:gridCol w:w="1984"/>
        <w:gridCol w:w="1843"/>
      </w:tblGrid>
      <w:tr w:rsidR="00385E1E" w:rsidTr="004A099A">
        <w:trPr>
          <w:cantSplit/>
          <w:tblHeader/>
        </w:trPr>
        <w:tc>
          <w:tcPr>
            <w:tcW w:w="1418" w:type="dxa"/>
            <w:tcBorders>
              <w:top w:val="single" w:sz="8" w:space="0" w:color="000000"/>
              <w:bottom w:val="single" w:sz="8" w:space="0" w:color="000000"/>
            </w:tcBorders>
          </w:tcPr>
          <w:p w:rsidR="00385E1E" w:rsidRDefault="00385E1E" w:rsidP="004A099A">
            <w:pPr>
              <w:pStyle w:val="TableContents"/>
            </w:pPr>
            <w:r>
              <w:t xml:space="preserve">Resource </w:t>
            </w:r>
          </w:p>
        </w:tc>
        <w:tc>
          <w:tcPr>
            <w:tcW w:w="1843" w:type="dxa"/>
            <w:tcBorders>
              <w:top w:val="single" w:sz="8" w:space="0" w:color="000000"/>
              <w:bottom w:val="single" w:sz="8" w:space="0" w:color="000000"/>
            </w:tcBorders>
          </w:tcPr>
          <w:p w:rsidR="00385E1E" w:rsidRDefault="00385E1E" w:rsidP="004A099A">
            <w:pPr>
              <w:pStyle w:val="TableContents"/>
            </w:pPr>
            <w:r>
              <w:t>IUPC hours 2013/14</w:t>
            </w:r>
          </w:p>
        </w:tc>
        <w:tc>
          <w:tcPr>
            <w:tcW w:w="2268" w:type="dxa"/>
            <w:tcBorders>
              <w:top w:val="single" w:sz="8" w:space="0" w:color="000000"/>
              <w:bottom w:val="single" w:sz="8" w:space="0" w:color="000000"/>
            </w:tcBorders>
          </w:tcPr>
          <w:p w:rsidR="00385E1E" w:rsidRDefault="00385E1E" w:rsidP="00DF6903">
            <w:pPr>
              <w:pStyle w:val="TableContents"/>
            </w:pPr>
            <w:r>
              <w:t xml:space="preserve">Hours used up to </w:t>
            </w:r>
            <w:r w:rsidR="00DF6903">
              <w:rPr>
                <w:i/>
              </w:rPr>
              <w:t>17</w:t>
            </w:r>
            <w:r>
              <w:rPr>
                <w:i/>
              </w:rPr>
              <w:t xml:space="preserve"> </w:t>
            </w:r>
            <w:r w:rsidR="00DF6903">
              <w:rPr>
                <w:i/>
              </w:rPr>
              <w:t>April</w:t>
            </w:r>
            <w:r>
              <w:rPr>
                <w:i/>
              </w:rPr>
              <w:t xml:space="preserve"> 2014</w:t>
            </w:r>
          </w:p>
        </w:tc>
        <w:tc>
          <w:tcPr>
            <w:tcW w:w="1984" w:type="dxa"/>
            <w:tcBorders>
              <w:top w:val="single" w:sz="8" w:space="0" w:color="000000"/>
              <w:bottom w:val="single" w:sz="8" w:space="0" w:color="000000"/>
            </w:tcBorders>
          </w:tcPr>
          <w:p w:rsidR="00385E1E" w:rsidRDefault="00385E1E" w:rsidP="004A099A">
            <w:pPr>
              <w:pStyle w:val="TableContents"/>
            </w:pPr>
            <w:r>
              <w:t xml:space="preserve">Hours remaining </w:t>
            </w:r>
          </w:p>
        </w:tc>
        <w:tc>
          <w:tcPr>
            <w:tcW w:w="1843" w:type="dxa"/>
            <w:tcBorders>
              <w:top w:val="single" w:sz="8" w:space="0" w:color="000000"/>
              <w:bottom w:val="single" w:sz="8" w:space="0" w:color="000000"/>
            </w:tcBorders>
          </w:tcPr>
          <w:p w:rsidR="00385E1E" w:rsidRDefault="00385E1E" w:rsidP="004A099A">
            <w:pPr>
              <w:pStyle w:val="TableContents"/>
            </w:pPr>
            <w:r>
              <w:t>Hours used 2012/13</w:t>
            </w:r>
          </w:p>
        </w:tc>
      </w:tr>
      <w:tr w:rsidR="00385E1E" w:rsidTr="004A099A">
        <w:trPr>
          <w:cantSplit/>
        </w:trPr>
        <w:tc>
          <w:tcPr>
            <w:tcW w:w="1418" w:type="dxa"/>
          </w:tcPr>
          <w:p w:rsidR="00385E1E" w:rsidRDefault="00385E1E" w:rsidP="004A099A">
            <w:pPr>
              <w:pStyle w:val="TableContents"/>
            </w:pPr>
            <w:r>
              <w:t xml:space="preserve">Editing </w:t>
            </w:r>
          </w:p>
        </w:tc>
        <w:tc>
          <w:tcPr>
            <w:tcW w:w="1843" w:type="dxa"/>
          </w:tcPr>
          <w:p w:rsidR="00385E1E" w:rsidRDefault="0081621A" w:rsidP="004A099A">
            <w:pPr>
              <w:pStyle w:val="TableContents"/>
            </w:pPr>
            <w:r>
              <w:t>35</w:t>
            </w:r>
          </w:p>
        </w:tc>
        <w:tc>
          <w:tcPr>
            <w:tcW w:w="2268" w:type="dxa"/>
          </w:tcPr>
          <w:p w:rsidR="00385E1E" w:rsidRDefault="0081621A" w:rsidP="004A099A">
            <w:pPr>
              <w:pStyle w:val="TableContents"/>
            </w:pPr>
            <w:r>
              <w:t>44</w:t>
            </w:r>
          </w:p>
        </w:tc>
        <w:tc>
          <w:tcPr>
            <w:tcW w:w="1984" w:type="dxa"/>
          </w:tcPr>
          <w:p w:rsidR="00385E1E" w:rsidRDefault="00385E1E" w:rsidP="004A099A">
            <w:pPr>
              <w:pStyle w:val="TableContents"/>
            </w:pPr>
            <w:r>
              <w:t>-</w:t>
            </w:r>
          </w:p>
        </w:tc>
        <w:tc>
          <w:tcPr>
            <w:tcW w:w="1843" w:type="dxa"/>
          </w:tcPr>
          <w:p w:rsidR="00385E1E" w:rsidRDefault="00385E1E" w:rsidP="004A099A">
            <w:pPr>
              <w:pStyle w:val="TableContents"/>
            </w:pPr>
            <w:r>
              <w:t>-</w:t>
            </w:r>
          </w:p>
        </w:tc>
      </w:tr>
      <w:tr w:rsidR="00385E1E" w:rsidTr="004A099A">
        <w:trPr>
          <w:cantSplit/>
        </w:trPr>
        <w:tc>
          <w:tcPr>
            <w:tcW w:w="1418" w:type="dxa"/>
          </w:tcPr>
          <w:p w:rsidR="00385E1E" w:rsidRDefault="00385E1E" w:rsidP="004A099A">
            <w:pPr>
              <w:pStyle w:val="TableContents"/>
            </w:pPr>
            <w:r>
              <w:t xml:space="preserve">Graphic art/des. </w:t>
            </w:r>
          </w:p>
        </w:tc>
        <w:tc>
          <w:tcPr>
            <w:tcW w:w="1843" w:type="dxa"/>
          </w:tcPr>
          <w:p w:rsidR="00385E1E" w:rsidRDefault="0081621A" w:rsidP="004A099A">
            <w:pPr>
              <w:pStyle w:val="TableContents"/>
            </w:pPr>
            <w:r>
              <w:t>2.5</w:t>
            </w:r>
          </w:p>
        </w:tc>
        <w:tc>
          <w:tcPr>
            <w:tcW w:w="2268" w:type="dxa"/>
          </w:tcPr>
          <w:p w:rsidR="00385E1E" w:rsidRDefault="0081621A" w:rsidP="004A099A">
            <w:pPr>
              <w:pStyle w:val="TableContents"/>
            </w:pPr>
            <w:r>
              <w:t>0.75</w:t>
            </w:r>
          </w:p>
        </w:tc>
        <w:tc>
          <w:tcPr>
            <w:tcW w:w="1984" w:type="dxa"/>
          </w:tcPr>
          <w:p w:rsidR="00385E1E" w:rsidRDefault="0081621A" w:rsidP="004A099A">
            <w:pPr>
              <w:pStyle w:val="TableContents"/>
            </w:pPr>
            <w:r>
              <w:t>1.75</w:t>
            </w:r>
          </w:p>
        </w:tc>
        <w:tc>
          <w:tcPr>
            <w:tcW w:w="1843" w:type="dxa"/>
          </w:tcPr>
          <w:p w:rsidR="00385E1E" w:rsidRDefault="00385E1E" w:rsidP="004A099A">
            <w:pPr>
              <w:pStyle w:val="TableContents"/>
            </w:pPr>
            <w:r>
              <w:t>-</w:t>
            </w:r>
          </w:p>
        </w:tc>
      </w:tr>
      <w:tr w:rsidR="00385E1E" w:rsidTr="004A099A">
        <w:trPr>
          <w:cantSplit/>
        </w:trPr>
        <w:tc>
          <w:tcPr>
            <w:tcW w:w="1418" w:type="dxa"/>
          </w:tcPr>
          <w:p w:rsidR="00385E1E" w:rsidRDefault="00385E1E" w:rsidP="004A099A">
            <w:pPr>
              <w:pStyle w:val="TableContents"/>
            </w:pPr>
            <w:r>
              <w:t xml:space="preserve">Software </w:t>
            </w:r>
          </w:p>
        </w:tc>
        <w:tc>
          <w:tcPr>
            <w:tcW w:w="1843" w:type="dxa"/>
          </w:tcPr>
          <w:p w:rsidR="00385E1E" w:rsidRDefault="0081621A" w:rsidP="0081621A">
            <w:pPr>
              <w:pStyle w:val="TableContents"/>
            </w:pPr>
            <w:r>
              <w:t>35</w:t>
            </w:r>
          </w:p>
        </w:tc>
        <w:tc>
          <w:tcPr>
            <w:tcW w:w="2268" w:type="dxa"/>
          </w:tcPr>
          <w:p w:rsidR="00385E1E" w:rsidRDefault="00DF6903" w:rsidP="0081621A">
            <w:pPr>
              <w:pStyle w:val="TableContents"/>
            </w:pPr>
            <w:r>
              <w:t>3</w:t>
            </w:r>
            <w:r w:rsidR="0081621A">
              <w:t>6</w:t>
            </w:r>
            <w:r>
              <w:t>.5</w:t>
            </w:r>
          </w:p>
        </w:tc>
        <w:tc>
          <w:tcPr>
            <w:tcW w:w="1984" w:type="dxa"/>
          </w:tcPr>
          <w:p w:rsidR="00385E1E" w:rsidRDefault="00385E1E" w:rsidP="004A099A">
            <w:pPr>
              <w:pStyle w:val="TableContents"/>
            </w:pPr>
            <w:r>
              <w:t>-</w:t>
            </w:r>
          </w:p>
        </w:tc>
        <w:tc>
          <w:tcPr>
            <w:tcW w:w="1843" w:type="dxa"/>
          </w:tcPr>
          <w:p w:rsidR="00385E1E" w:rsidRDefault="00DF6903" w:rsidP="004A099A">
            <w:pPr>
              <w:pStyle w:val="TableContents"/>
            </w:pPr>
            <w:r>
              <w:t>29.25</w:t>
            </w:r>
          </w:p>
        </w:tc>
      </w:tr>
      <w:tr w:rsidR="00385E1E" w:rsidTr="004A099A">
        <w:trPr>
          <w:cantSplit/>
        </w:trPr>
        <w:tc>
          <w:tcPr>
            <w:tcW w:w="1418" w:type="dxa"/>
          </w:tcPr>
          <w:p w:rsidR="00385E1E" w:rsidRDefault="00385E1E" w:rsidP="004A099A">
            <w:pPr>
              <w:pStyle w:val="TableContents"/>
            </w:pPr>
            <w:r>
              <w:t>Media assistant</w:t>
            </w:r>
          </w:p>
        </w:tc>
        <w:tc>
          <w:tcPr>
            <w:tcW w:w="1843" w:type="dxa"/>
          </w:tcPr>
          <w:p w:rsidR="00385E1E" w:rsidRDefault="00385E1E" w:rsidP="004A099A">
            <w:pPr>
              <w:pStyle w:val="TableContents"/>
            </w:pPr>
            <w:r>
              <w:t>-</w:t>
            </w:r>
          </w:p>
        </w:tc>
        <w:tc>
          <w:tcPr>
            <w:tcW w:w="2268" w:type="dxa"/>
          </w:tcPr>
          <w:p w:rsidR="00385E1E" w:rsidRDefault="00385E1E" w:rsidP="004A099A">
            <w:pPr>
              <w:pStyle w:val="TableContents"/>
            </w:pPr>
            <w:r>
              <w:t>-</w:t>
            </w:r>
          </w:p>
        </w:tc>
        <w:tc>
          <w:tcPr>
            <w:tcW w:w="1984" w:type="dxa"/>
          </w:tcPr>
          <w:p w:rsidR="00385E1E" w:rsidRDefault="00385E1E" w:rsidP="004A099A">
            <w:pPr>
              <w:pStyle w:val="TableContents"/>
            </w:pPr>
            <w:r>
              <w:t>-</w:t>
            </w:r>
          </w:p>
        </w:tc>
        <w:tc>
          <w:tcPr>
            <w:tcW w:w="1843" w:type="dxa"/>
          </w:tcPr>
          <w:p w:rsidR="00385E1E" w:rsidRDefault="00385E1E" w:rsidP="004A099A">
            <w:pPr>
              <w:pStyle w:val="TableContents"/>
            </w:pPr>
            <w:r>
              <w:t>-</w:t>
            </w:r>
          </w:p>
        </w:tc>
      </w:tr>
      <w:tr w:rsidR="00385E1E" w:rsidTr="004A099A">
        <w:trPr>
          <w:cantSplit/>
        </w:trPr>
        <w:tc>
          <w:tcPr>
            <w:tcW w:w="1418" w:type="dxa"/>
            <w:tcBorders>
              <w:bottom w:val="single" w:sz="8" w:space="0" w:color="000000"/>
            </w:tcBorders>
          </w:tcPr>
          <w:p w:rsidR="00385E1E" w:rsidRDefault="00385E1E" w:rsidP="004A099A">
            <w:pPr>
              <w:pStyle w:val="TableContents"/>
            </w:pPr>
            <w:r>
              <w:t xml:space="preserve">S &amp; V </w:t>
            </w:r>
          </w:p>
        </w:tc>
        <w:tc>
          <w:tcPr>
            <w:tcW w:w="1843" w:type="dxa"/>
            <w:tcBorders>
              <w:bottom w:val="single" w:sz="8" w:space="0" w:color="000000"/>
            </w:tcBorders>
          </w:tcPr>
          <w:p w:rsidR="00385E1E" w:rsidRDefault="00385E1E" w:rsidP="004A099A">
            <w:pPr>
              <w:pStyle w:val="TableContents"/>
            </w:pPr>
            <w:r>
              <w:t>-</w:t>
            </w:r>
          </w:p>
        </w:tc>
        <w:tc>
          <w:tcPr>
            <w:tcW w:w="2268" w:type="dxa"/>
            <w:tcBorders>
              <w:bottom w:val="single" w:sz="8" w:space="0" w:color="000000"/>
            </w:tcBorders>
          </w:tcPr>
          <w:p w:rsidR="00385E1E" w:rsidRDefault="00385E1E" w:rsidP="004A099A">
            <w:pPr>
              <w:pStyle w:val="TableContents"/>
            </w:pPr>
            <w:r>
              <w:t>-</w:t>
            </w:r>
          </w:p>
        </w:tc>
        <w:tc>
          <w:tcPr>
            <w:tcW w:w="1984" w:type="dxa"/>
            <w:tcBorders>
              <w:bottom w:val="single" w:sz="8" w:space="0" w:color="000000"/>
            </w:tcBorders>
          </w:tcPr>
          <w:p w:rsidR="00385E1E" w:rsidRDefault="00385E1E" w:rsidP="004A099A">
            <w:pPr>
              <w:pStyle w:val="TableContents"/>
            </w:pPr>
            <w:r>
              <w:t>-</w:t>
            </w:r>
          </w:p>
        </w:tc>
        <w:tc>
          <w:tcPr>
            <w:tcW w:w="1843" w:type="dxa"/>
            <w:tcBorders>
              <w:bottom w:val="single" w:sz="8" w:space="0" w:color="000000"/>
            </w:tcBorders>
          </w:tcPr>
          <w:p w:rsidR="00385E1E" w:rsidRDefault="00385E1E" w:rsidP="004A099A">
            <w:pPr>
              <w:pStyle w:val="TableContents"/>
            </w:pPr>
            <w:r>
              <w:t>-</w:t>
            </w:r>
          </w:p>
        </w:tc>
      </w:tr>
    </w:tbl>
    <w:p w:rsidR="003F6D9A" w:rsidRDefault="00385E1E">
      <w:r>
        <w:br w:type="page"/>
      </w:r>
    </w:p>
    <w:p w:rsidR="003F6D9A" w:rsidRDefault="003F6D9A" w:rsidP="003F6D9A">
      <w:pPr>
        <w:pStyle w:val="THpTableHead"/>
      </w:pPr>
      <w:r w:rsidRPr="0063210A">
        <w:lastRenderedPageBreak/>
        <w:t>Key issues/developments</w:t>
      </w:r>
    </w:p>
    <w:p w:rsidR="00C47C3B" w:rsidRDefault="00C47C3B" w:rsidP="00C47C3B">
      <w:pPr>
        <w:pStyle w:val="TLpTableLeft"/>
      </w:pPr>
      <w:r>
        <w:t>Due to the fact that the WordPress installation upgrade has been delayed there are now two separate sections of notes and actions, for 14J and 15J.</w:t>
      </w:r>
    </w:p>
    <w:p w:rsidR="00C47C3B" w:rsidRDefault="00C47C3B" w:rsidP="00C47C3B">
      <w:pPr>
        <w:pStyle w:val="TLpTableLeft"/>
      </w:pPr>
      <w:r>
        <w:t>14J will continue with the current installation of WordPress and this will go through its usual maintenance work (and any required fixes due to database server move).</w:t>
      </w:r>
    </w:p>
    <w:p w:rsidR="00C47C3B" w:rsidRPr="00C47C3B" w:rsidRDefault="00C47C3B" w:rsidP="00C47C3B">
      <w:pPr>
        <w:pStyle w:val="TLpTableLeft"/>
      </w:pPr>
      <w:r>
        <w:t xml:space="preserve">Work will also still continue on the installation and setup of the new version of WordPress for 15J. </w:t>
      </w:r>
    </w:p>
    <w:p w:rsidR="00B45498" w:rsidRDefault="00B45498" w:rsidP="00424E1B">
      <w:pPr>
        <w:pStyle w:val="Heading2"/>
      </w:pPr>
    </w:p>
    <w:p w:rsidR="00424E1B" w:rsidRDefault="00424E1B" w:rsidP="00424E1B">
      <w:pPr>
        <w:pStyle w:val="Heading2"/>
      </w:pPr>
      <w:r>
        <w:t>14J</w:t>
      </w:r>
    </w:p>
    <w:p w:rsidR="00424E1B" w:rsidRDefault="00424E1B" w:rsidP="00424E1B">
      <w:pPr>
        <w:pStyle w:val="TLpTableLeft"/>
      </w:pPr>
    </w:p>
    <w:tbl>
      <w:tblPr>
        <w:tblW w:w="0" w:type="auto"/>
        <w:tblLook w:val="01E0" w:firstRow="1" w:lastRow="1" w:firstColumn="1" w:lastColumn="1" w:noHBand="0" w:noVBand="0"/>
      </w:tblPr>
      <w:tblGrid>
        <w:gridCol w:w="2376"/>
        <w:gridCol w:w="6146"/>
      </w:tblGrid>
      <w:tr w:rsidR="00424E1B" w:rsidRPr="00545C92" w:rsidTr="00BB1C67">
        <w:tc>
          <w:tcPr>
            <w:tcW w:w="2376" w:type="dxa"/>
            <w:shd w:val="clear" w:color="auto" w:fill="auto"/>
          </w:tcPr>
          <w:p w:rsidR="00424E1B" w:rsidRPr="00545C92" w:rsidRDefault="00424E1B" w:rsidP="00BB1C67">
            <w:pPr>
              <w:rPr>
                <w:rFonts w:ascii="Verdana" w:hAnsi="Verdana"/>
              </w:rPr>
            </w:pPr>
            <w:r w:rsidRPr="00545C92">
              <w:rPr>
                <w:rFonts w:ascii="Verdana" w:hAnsi="Verdana"/>
              </w:rPr>
              <w:t>Date change for upgrade of WordPress version</w:t>
            </w:r>
          </w:p>
        </w:tc>
        <w:tc>
          <w:tcPr>
            <w:tcW w:w="6146" w:type="dxa"/>
            <w:shd w:val="clear" w:color="auto" w:fill="auto"/>
          </w:tcPr>
          <w:p w:rsidR="00424E1B" w:rsidRPr="00545C92" w:rsidRDefault="00424E1B" w:rsidP="00BB1C67">
            <w:pPr>
              <w:rPr>
                <w:rFonts w:ascii="Verdana" w:hAnsi="Verdana"/>
              </w:rPr>
            </w:pPr>
            <w:r w:rsidRPr="00545C92">
              <w:rPr>
                <w:rFonts w:ascii="Verdana" w:hAnsi="Verdana"/>
              </w:rPr>
              <w:t>Use of the upgraded new version of WordPress is to be delayed to 15J presentation and not 14J.  This will ensure that we can get the new version setup and tested fully, with any problems or issues sorted out.</w:t>
            </w:r>
          </w:p>
          <w:p w:rsidR="00424E1B" w:rsidRPr="00545C92" w:rsidRDefault="00424E1B" w:rsidP="00BB1C67">
            <w:pPr>
              <w:rPr>
                <w:rFonts w:ascii="Verdana" w:hAnsi="Verdana"/>
              </w:rPr>
            </w:pPr>
            <w:r w:rsidRPr="00545C92">
              <w:rPr>
                <w:rFonts w:ascii="Verdana" w:hAnsi="Verdana"/>
              </w:rPr>
              <w:t>The current (old) version of WordPress will continue to be used for 14J.  Once the database has been moved on 3</w:t>
            </w:r>
            <w:r w:rsidRPr="00545C92">
              <w:rPr>
                <w:rFonts w:ascii="Verdana" w:hAnsi="Verdana"/>
                <w:vertAlign w:val="superscript"/>
              </w:rPr>
              <w:t>rd</w:t>
            </w:r>
            <w:r w:rsidRPr="00545C92">
              <w:rPr>
                <w:rFonts w:ascii="Verdana" w:hAnsi="Verdana"/>
              </w:rPr>
              <w:t xml:space="preserve"> June as part of the Kingfisher server decommission, the current installation will be fixed to point at the moved database and made ready.</w:t>
            </w:r>
          </w:p>
        </w:tc>
      </w:tr>
      <w:tr w:rsidR="00424E1B" w:rsidRPr="00545C92" w:rsidTr="00BB1C67">
        <w:tc>
          <w:tcPr>
            <w:tcW w:w="2376" w:type="dxa"/>
            <w:shd w:val="clear" w:color="auto" w:fill="auto"/>
          </w:tcPr>
          <w:p w:rsidR="00424E1B" w:rsidRPr="00545C92" w:rsidRDefault="00424E1B" w:rsidP="00BB1C67">
            <w:pPr>
              <w:rPr>
                <w:rFonts w:ascii="Verdana" w:hAnsi="Verdana"/>
              </w:rPr>
            </w:pPr>
            <w:r w:rsidRPr="00545C92">
              <w:rPr>
                <w:rFonts w:ascii="Verdana" w:hAnsi="Verdana"/>
              </w:rPr>
              <w:t>Issues</w:t>
            </w:r>
          </w:p>
        </w:tc>
        <w:tc>
          <w:tcPr>
            <w:tcW w:w="6146" w:type="dxa"/>
            <w:shd w:val="clear" w:color="auto" w:fill="auto"/>
          </w:tcPr>
          <w:p w:rsidR="00424E1B" w:rsidRPr="00545C92" w:rsidRDefault="00424E1B" w:rsidP="00BB1C67">
            <w:pPr>
              <w:rPr>
                <w:rFonts w:ascii="Verdana" w:hAnsi="Verdana"/>
              </w:rPr>
            </w:pPr>
            <w:r w:rsidRPr="00545C92">
              <w:rPr>
                <w:rFonts w:ascii="Verdana" w:hAnsi="Verdana"/>
              </w:rPr>
              <w:t>IT are decommissioning the server (kingfisher) on which the current WordPress installation is sitting and wanted to move the associated database fairly quickly.  The current presentation of this module finishes at the end of July and because of this we have managed to delay the move until after this.  The move will now take place on 3</w:t>
            </w:r>
            <w:r w:rsidRPr="00545C92">
              <w:rPr>
                <w:rFonts w:ascii="Verdana" w:hAnsi="Verdana"/>
                <w:vertAlign w:val="superscript"/>
              </w:rPr>
              <w:t>rd</w:t>
            </w:r>
            <w:r w:rsidRPr="00545C92">
              <w:rPr>
                <w:rFonts w:ascii="Verdana" w:hAnsi="Verdana"/>
              </w:rPr>
              <w:t xml:space="preserve"> June, as agreed with Phil Rogers.</w:t>
            </w:r>
          </w:p>
          <w:p w:rsidR="00424E1B" w:rsidRPr="00545C92" w:rsidRDefault="00424E1B" w:rsidP="00BB1C67">
            <w:pPr>
              <w:rPr>
                <w:rFonts w:ascii="Verdana" w:hAnsi="Verdana"/>
              </w:rPr>
            </w:pPr>
            <w:r w:rsidRPr="00545C92">
              <w:rPr>
                <w:rFonts w:ascii="Verdana" w:hAnsi="Verdana"/>
                <w:b/>
              </w:rPr>
              <w:t xml:space="preserve">Action: </w:t>
            </w:r>
            <w:r w:rsidRPr="00545C92">
              <w:rPr>
                <w:rFonts w:ascii="Verdana" w:hAnsi="Verdana"/>
              </w:rPr>
              <w:t>Gareth will liaise with Phil Rogers in IT to get details of new location fed through to Howard.</w:t>
            </w:r>
          </w:p>
          <w:p w:rsidR="00B524C4" w:rsidRPr="00545C92" w:rsidRDefault="00424E1B" w:rsidP="00B524C4">
            <w:pPr>
              <w:rPr>
                <w:rFonts w:ascii="Verdana" w:hAnsi="Verdana"/>
              </w:rPr>
            </w:pPr>
            <w:r w:rsidRPr="00545C92">
              <w:rPr>
                <w:rFonts w:ascii="Verdana" w:hAnsi="Verdana"/>
                <w:b/>
              </w:rPr>
              <w:t xml:space="preserve">Action: </w:t>
            </w:r>
            <w:r w:rsidRPr="00545C92">
              <w:rPr>
                <w:rFonts w:ascii="Verdana" w:hAnsi="Verdana"/>
              </w:rPr>
              <w:t>Howard to liaise with Jane to find out what work needs to be carried out to make it ready for the 14J presentation</w:t>
            </w:r>
            <w:r w:rsidR="00B524C4" w:rsidRPr="00545C92">
              <w:rPr>
                <w:rFonts w:ascii="Verdana" w:hAnsi="Verdana"/>
              </w:rPr>
              <w:t xml:space="preserve"> so that he knows what needs doing once the database move has taken place.</w:t>
            </w:r>
            <w:r w:rsidRPr="00545C92">
              <w:rPr>
                <w:rFonts w:ascii="Verdana" w:hAnsi="Verdana"/>
              </w:rPr>
              <w:t xml:space="preserve">  </w:t>
            </w:r>
            <w:r w:rsidR="00B45498">
              <w:rPr>
                <w:rFonts w:ascii="Verdana" w:hAnsi="Verdana"/>
              </w:rPr>
              <w:t>(</w:t>
            </w:r>
            <w:r w:rsidRPr="00545C92">
              <w:rPr>
                <w:rFonts w:ascii="Verdana" w:hAnsi="Verdana"/>
              </w:rPr>
              <w:t>This will be the usual wor</w:t>
            </w:r>
            <w:r w:rsidR="00B524C4" w:rsidRPr="00545C92">
              <w:rPr>
                <w:rFonts w:ascii="Verdana" w:hAnsi="Verdana"/>
              </w:rPr>
              <w:t>k carried out on each rollover</w:t>
            </w:r>
            <w:r w:rsidR="00B45498">
              <w:rPr>
                <w:rFonts w:ascii="Verdana" w:hAnsi="Verdana"/>
              </w:rPr>
              <w:t>)</w:t>
            </w:r>
          </w:p>
          <w:p w:rsidR="00424E1B" w:rsidRPr="00545C92" w:rsidRDefault="00B524C4" w:rsidP="00B524C4">
            <w:pPr>
              <w:rPr>
                <w:rFonts w:ascii="Verdana" w:hAnsi="Verdana"/>
              </w:rPr>
            </w:pPr>
            <w:r w:rsidRPr="00545C92">
              <w:rPr>
                <w:rFonts w:ascii="Verdana" w:hAnsi="Verdana"/>
                <w:b/>
              </w:rPr>
              <w:t xml:space="preserve">Action (post database move): </w:t>
            </w:r>
            <w:r w:rsidRPr="00545C92">
              <w:rPr>
                <w:rFonts w:ascii="Verdana" w:hAnsi="Verdana"/>
              </w:rPr>
              <w:t>Howard will carry out the necessary work to make the current installation ready for 14J.</w:t>
            </w:r>
          </w:p>
        </w:tc>
      </w:tr>
      <w:tr w:rsidR="00424E1B" w:rsidRPr="00545C92" w:rsidTr="00BB1C67">
        <w:tc>
          <w:tcPr>
            <w:tcW w:w="2376" w:type="dxa"/>
            <w:shd w:val="clear" w:color="auto" w:fill="auto"/>
          </w:tcPr>
          <w:p w:rsidR="00424E1B" w:rsidRPr="00545C92" w:rsidRDefault="00424E1B" w:rsidP="00BB1C67">
            <w:pPr>
              <w:rPr>
                <w:rFonts w:ascii="Verdana" w:hAnsi="Verdana"/>
              </w:rPr>
            </w:pPr>
            <w:r w:rsidRPr="00545C92">
              <w:rPr>
                <w:rFonts w:ascii="Verdana" w:hAnsi="Verdana"/>
              </w:rPr>
              <w:t>History</w:t>
            </w:r>
          </w:p>
        </w:tc>
        <w:tc>
          <w:tcPr>
            <w:tcW w:w="6146" w:type="dxa"/>
            <w:shd w:val="clear" w:color="auto" w:fill="auto"/>
          </w:tcPr>
          <w:p w:rsidR="00424E1B" w:rsidRPr="00545C92" w:rsidRDefault="00424E1B" w:rsidP="00BB1C67">
            <w:pPr>
              <w:overflowPunct w:val="0"/>
              <w:autoSpaceDE w:val="0"/>
              <w:autoSpaceDN w:val="0"/>
              <w:adjustRightInd w:val="0"/>
              <w:spacing w:line="260" w:lineRule="atLeast"/>
              <w:textAlignment w:val="baseline"/>
              <w:rPr>
                <w:rFonts w:ascii="Verdana" w:hAnsi="Verdana"/>
              </w:rPr>
            </w:pPr>
            <w:r w:rsidRPr="00545C92">
              <w:rPr>
                <w:rFonts w:ascii="Verdana" w:hAnsi="Verdana"/>
              </w:rPr>
              <w:t>For previous installations and setups of the WordPress MU part of T215, work was carried out by Jamie Daniels and Jane Bromley.</w:t>
            </w:r>
          </w:p>
        </w:tc>
      </w:tr>
      <w:tr w:rsidR="00424E1B" w:rsidRPr="00545C92" w:rsidTr="00BB1C67">
        <w:tc>
          <w:tcPr>
            <w:tcW w:w="2376" w:type="dxa"/>
            <w:shd w:val="clear" w:color="auto" w:fill="auto"/>
          </w:tcPr>
          <w:p w:rsidR="00424E1B" w:rsidRPr="00545C92" w:rsidRDefault="00424E1B" w:rsidP="00BB1C67">
            <w:pPr>
              <w:rPr>
                <w:rFonts w:ascii="Verdana" w:hAnsi="Verdana"/>
              </w:rPr>
            </w:pPr>
            <w:r w:rsidRPr="00545C92">
              <w:rPr>
                <w:rFonts w:ascii="Verdana" w:hAnsi="Verdana"/>
              </w:rPr>
              <w:t>Blogs</w:t>
            </w:r>
          </w:p>
        </w:tc>
        <w:tc>
          <w:tcPr>
            <w:tcW w:w="6146" w:type="dxa"/>
            <w:shd w:val="clear" w:color="auto" w:fill="auto"/>
          </w:tcPr>
          <w:p w:rsidR="00424E1B" w:rsidRPr="00545C92" w:rsidRDefault="00424E1B" w:rsidP="00B524C4">
            <w:pPr>
              <w:rPr>
                <w:rFonts w:ascii="Verdana" w:hAnsi="Verdana"/>
              </w:rPr>
            </w:pPr>
            <w:r w:rsidRPr="00545C92">
              <w:rPr>
                <w:rFonts w:ascii="Verdana" w:hAnsi="Verdana"/>
              </w:rPr>
              <w:t>Nigel Robson in IT might know about WordPress blogs setup, via intranet – request a blog</w:t>
            </w:r>
            <w:r w:rsidR="00B524C4" w:rsidRPr="00545C92">
              <w:rPr>
                <w:rFonts w:ascii="Verdana" w:hAnsi="Verdana"/>
              </w:rPr>
              <w:t>.</w:t>
            </w:r>
          </w:p>
        </w:tc>
      </w:tr>
      <w:tr w:rsidR="00424E1B" w:rsidRPr="00545C92" w:rsidTr="00BB1C67">
        <w:tc>
          <w:tcPr>
            <w:tcW w:w="2376" w:type="dxa"/>
            <w:shd w:val="clear" w:color="auto" w:fill="auto"/>
          </w:tcPr>
          <w:p w:rsidR="00424E1B" w:rsidRPr="00545C92" w:rsidRDefault="00424E1B" w:rsidP="00BB1C67">
            <w:pPr>
              <w:rPr>
                <w:rFonts w:ascii="Verdana" w:hAnsi="Verdana"/>
              </w:rPr>
            </w:pPr>
            <w:r w:rsidRPr="00545C92">
              <w:rPr>
                <w:rFonts w:ascii="Verdana" w:hAnsi="Verdana"/>
              </w:rPr>
              <w:t>Plugins</w:t>
            </w:r>
          </w:p>
        </w:tc>
        <w:tc>
          <w:tcPr>
            <w:tcW w:w="6146" w:type="dxa"/>
            <w:shd w:val="clear" w:color="auto" w:fill="auto"/>
          </w:tcPr>
          <w:p w:rsidR="00424E1B" w:rsidRPr="00545C92" w:rsidRDefault="00424E1B" w:rsidP="00BB1C67">
            <w:pPr>
              <w:rPr>
                <w:rFonts w:ascii="Verdana" w:hAnsi="Verdana"/>
              </w:rPr>
            </w:pPr>
            <w:r w:rsidRPr="00545C92">
              <w:rPr>
                <w:rFonts w:ascii="Verdana" w:hAnsi="Verdana"/>
              </w:rPr>
              <w:t>The plugins currently in use include calendar, map, web-form sign-in, weather info etc.</w:t>
            </w:r>
          </w:p>
        </w:tc>
      </w:tr>
    </w:tbl>
    <w:p w:rsidR="00424E1B" w:rsidRDefault="00424E1B" w:rsidP="00424E1B">
      <w:pPr>
        <w:pStyle w:val="TLpTableLeft"/>
      </w:pPr>
    </w:p>
    <w:p w:rsidR="00424E1B" w:rsidRDefault="00424E1B" w:rsidP="00424E1B">
      <w:pPr>
        <w:pStyle w:val="TLpTableLeft"/>
      </w:pPr>
    </w:p>
    <w:p w:rsidR="00B45498" w:rsidRDefault="00B45498">
      <w:pPr>
        <w:rPr>
          <w:rFonts w:eastAsia="Times New Roman"/>
          <w:b/>
          <w:bCs/>
          <w:i/>
          <w:iCs/>
          <w:sz w:val="24"/>
          <w:szCs w:val="28"/>
          <w:lang w:eastAsia="zh-TW"/>
        </w:rPr>
      </w:pPr>
      <w:r>
        <w:br w:type="page"/>
      </w:r>
    </w:p>
    <w:p w:rsidR="00424E1B" w:rsidRPr="00424E1B" w:rsidRDefault="00424E1B" w:rsidP="00424E1B">
      <w:pPr>
        <w:pStyle w:val="Heading2"/>
      </w:pPr>
      <w:r>
        <w:lastRenderedPageBreak/>
        <w:t>15J</w:t>
      </w:r>
    </w:p>
    <w:p w:rsidR="0049415E" w:rsidRPr="0049415E" w:rsidRDefault="0049415E" w:rsidP="0049415E">
      <w:pPr>
        <w:pStyle w:val="TLpTableLeft"/>
      </w:pPr>
    </w:p>
    <w:tbl>
      <w:tblPr>
        <w:tblW w:w="0" w:type="auto"/>
        <w:tblLook w:val="01E0" w:firstRow="1" w:lastRow="1" w:firstColumn="1" w:lastColumn="1" w:noHBand="0" w:noVBand="0"/>
      </w:tblPr>
      <w:tblGrid>
        <w:gridCol w:w="2376"/>
        <w:gridCol w:w="6146"/>
      </w:tblGrid>
      <w:tr w:rsidR="003F6D9A" w:rsidRPr="00545C92" w:rsidTr="004A099A">
        <w:tc>
          <w:tcPr>
            <w:tcW w:w="2376" w:type="dxa"/>
            <w:shd w:val="clear" w:color="auto" w:fill="auto"/>
          </w:tcPr>
          <w:p w:rsidR="003F6D9A" w:rsidRPr="00545C92" w:rsidRDefault="003F6D9A" w:rsidP="004A099A">
            <w:pPr>
              <w:rPr>
                <w:rFonts w:ascii="Verdana" w:hAnsi="Verdana"/>
              </w:rPr>
            </w:pPr>
            <w:r w:rsidRPr="00545C92">
              <w:rPr>
                <w:rFonts w:ascii="Verdana" w:hAnsi="Verdana"/>
              </w:rPr>
              <w:t>Issues</w:t>
            </w:r>
          </w:p>
        </w:tc>
        <w:tc>
          <w:tcPr>
            <w:tcW w:w="6146" w:type="dxa"/>
            <w:shd w:val="clear" w:color="auto" w:fill="auto"/>
          </w:tcPr>
          <w:p w:rsidR="00424E1B" w:rsidRPr="00545C92" w:rsidRDefault="00424E1B" w:rsidP="00424E1B">
            <w:pPr>
              <w:rPr>
                <w:rFonts w:ascii="Verdana" w:hAnsi="Verdana"/>
              </w:rPr>
            </w:pPr>
            <w:r w:rsidRPr="00545C92">
              <w:rPr>
                <w:rFonts w:ascii="Verdana" w:hAnsi="Verdana"/>
              </w:rPr>
              <w:t>We need to make sure that the new version of WordPress is compatible with the server PHP and MySQL versions</w:t>
            </w:r>
          </w:p>
          <w:p w:rsidR="004D317D" w:rsidRPr="00545C92" w:rsidRDefault="005465B5" w:rsidP="00424E1B">
            <w:pPr>
              <w:rPr>
                <w:rFonts w:ascii="Verdana" w:hAnsi="Verdana"/>
              </w:rPr>
            </w:pPr>
            <w:r w:rsidRPr="00545C92">
              <w:rPr>
                <w:rFonts w:ascii="Verdana" w:hAnsi="Verdana"/>
                <w:b/>
              </w:rPr>
              <w:t>Action:</w:t>
            </w:r>
            <w:r w:rsidRPr="00545C92">
              <w:rPr>
                <w:rFonts w:ascii="Verdana" w:hAnsi="Verdana"/>
              </w:rPr>
              <w:t xml:space="preserve"> Howard to check version of </w:t>
            </w:r>
            <w:r w:rsidR="00424E1B" w:rsidRPr="00545C92">
              <w:rPr>
                <w:rFonts w:ascii="Verdana" w:hAnsi="Verdana"/>
              </w:rPr>
              <w:t>PHP</w:t>
            </w:r>
            <w:r w:rsidRPr="00545C92">
              <w:rPr>
                <w:rFonts w:ascii="Verdana" w:hAnsi="Verdana"/>
              </w:rPr>
              <w:t xml:space="preserve"> and </w:t>
            </w:r>
            <w:r w:rsidR="00424E1B" w:rsidRPr="00545C92">
              <w:rPr>
                <w:rFonts w:ascii="Verdana" w:hAnsi="Verdana"/>
              </w:rPr>
              <w:t>MySQL</w:t>
            </w:r>
            <w:r w:rsidRPr="00545C92">
              <w:rPr>
                <w:rFonts w:ascii="Verdana" w:hAnsi="Verdana"/>
              </w:rPr>
              <w:t xml:space="preserve"> on the server holding this installation to make sure that it will work</w:t>
            </w:r>
            <w:r w:rsidR="0081621A" w:rsidRPr="00545C92">
              <w:rPr>
                <w:rFonts w:ascii="Verdana" w:hAnsi="Verdana"/>
              </w:rPr>
              <w:t xml:space="preserve"> with the new WordPress version in 15J</w:t>
            </w:r>
            <w:r w:rsidRPr="00545C92">
              <w:rPr>
                <w:rFonts w:ascii="Verdana" w:hAnsi="Verdana"/>
              </w:rPr>
              <w:t xml:space="preserve">.  </w:t>
            </w:r>
          </w:p>
        </w:tc>
      </w:tr>
      <w:tr w:rsidR="003F6D9A" w:rsidRPr="00545C92" w:rsidTr="004A099A">
        <w:tc>
          <w:tcPr>
            <w:tcW w:w="2376" w:type="dxa"/>
            <w:shd w:val="clear" w:color="auto" w:fill="auto"/>
          </w:tcPr>
          <w:p w:rsidR="003F6D9A" w:rsidRPr="00545C92" w:rsidRDefault="00AD0EAC" w:rsidP="004A099A">
            <w:pPr>
              <w:rPr>
                <w:rFonts w:ascii="Verdana" w:hAnsi="Verdana"/>
              </w:rPr>
            </w:pPr>
            <w:r w:rsidRPr="00545C92">
              <w:rPr>
                <w:rFonts w:ascii="Verdana" w:hAnsi="Verdana"/>
              </w:rPr>
              <w:t>Test version</w:t>
            </w:r>
          </w:p>
        </w:tc>
        <w:tc>
          <w:tcPr>
            <w:tcW w:w="6146" w:type="dxa"/>
            <w:shd w:val="clear" w:color="auto" w:fill="auto"/>
          </w:tcPr>
          <w:p w:rsidR="003F6D9A" w:rsidRPr="00545C92" w:rsidRDefault="001B7C0D" w:rsidP="001B7C0D">
            <w:pPr>
              <w:rPr>
                <w:rFonts w:ascii="Verdana" w:hAnsi="Verdana"/>
              </w:rPr>
            </w:pPr>
            <w:r w:rsidRPr="00545C92">
              <w:rPr>
                <w:rFonts w:ascii="Verdana" w:hAnsi="Verdana"/>
                <w:b/>
              </w:rPr>
              <w:t>Action (complete):</w:t>
            </w:r>
            <w:r w:rsidRPr="00545C92">
              <w:rPr>
                <w:rFonts w:ascii="Verdana" w:hAnsi="Verdana"/>
              </w:rPr>
              <w:t xml:space="preserve"> </w:t>
            </w:r>
            <w:r w:rsidR="00AD0EAC" w:rsidRPr="00545C92">
              <w:rPr>
                <w:rFonts w:ascii="Verdana" w:hAnsi="Verdana"/>
              </w:rPr>
              <w:t>A test installation of the current latest version (3.8?) has been made available by Howard Davies</w:t>
            </w:r>
            <w:r w:rsidRPr="00545C92">
              <w:rPr>
                <w:rFonts w:ascii="Verdana" w:hAnsi="Verdana"/>
              </w:rPr>
              <w:t>.</w:t>
            </w:r>
            <w:r w:rsidR="00AD0EAC" w:rsidRPr="00545C92">
              <w:rPr>
                <w:rFonts w:ascii="Verdana" w:hAnsi="Verdana"/>
              </w:rPr>
              <w:t xml:space="preserve"> </w:t>
            </w:r>
            <w:r w:rsidRPr="00545C92">
              <w:rPr>
                <w:rFonts w:ascii="Verdana" w:hAnsi="Verdana"/>
                <w:b/>
              </w:rPr>
              <w:t>Action:</w:t>
            </w:r>
            <w:r w:rsidRPr="00545C92">
              <w:rPr>
                <w:rFonts w:ascii="Verdana" w:hAnsi="Verdana"/>
              </w:rPr>
              <w:t xml:space="preserve"> </w:t>
            </w:r>
            <w:r w:rsidR="00AD0EAC" w:rsidRPr="00545C92">
              <w:rPr>
                <w:rFonts w:ascii="Verdana" w:hAnsi="Verdana"/>
              </w:rPr>
              <w:t>Helen and Karen to evaluate and assess what, and how much, work needs to be carried out their end for reference content updates.</w:t>
            </w:r>
          </w:p>
        </w:tc>
      </w:tr>
      <w:tr w:rsidR="003F6D9A" w:rsidRPr="00545C92" w:rsidTr="004A099A">
        <w:tc>
          <w:tcPr>
            <w:tcW w:w="2376" w:type="dxa"/>
            <w:shd w:val="clear" w:color="auto" w:fill="auto"/>
          </w:tcPr>
          <w:p w:rsidR="003F6D9A" w:rsidRPr="00545C92" w:rsidRDefault="00AD0EAC" w:rsidP="004A099A">
            <w:pPr>
              <w:rPr>
                <w:rFonts w:ascii="Verdana" w:hAnsi="Verdana"/>
              </w:rPr>
            </w:pPr>
            <w:r w:rsidRPr="00545C92">
              <w:rPr>
                <w:rFonts w:ascii="Verdana" w:hAnsi="Verdana"/>
              </w:rPr>
              <w:t>Themes</w:t>
            </w:r>
          </w:p>
        </w:tc>
        <w:tc>
          <w:tcPr>
            <w:tcW w:w="6146" w:type="dxa"/>
            <w:shd w:val="clear" w:color="auto" w:fill="auto"/>
          </w:tcPr>
          <w:p w:rsidR="003F6D9A" w:rsidRPr="00545C92" w:rsidRDefault="001B7C0D" w:rsidP="0066754B">
            <w:pPr>
              <w:rPr>
                <w:rFonts w:ascii="Verdana" w:hAnsi="Verdana"/>
              </w:rPr>
            </w:pPr>
            <w:r w:rsidRPr="00545C92">
              <w:rPr>
                <w:rFonts w:ascii="Verdana" w:hAnsi="Verdana"/>
                <w:b/>
              </w:rPr>
              <w:t>Action:</w:t>
            </w:r>
            <w:r w:rsidRPr="00545C92">
              <w:rPr>
                <w:rFonts w:ascii="Verdana" w:hAnsi="Verdana"/>
              </w:rPr>
              <w:t xml:space="preserve"> Howard to investigate themes</w:t>
            </w:r>
            <w:r w:rsidR="0066754B">
              <w:rPr>
                <w:rFonts w:ascii="Verdana" w:hAnsi="Verdana"/>
              </w:rPr>
              <w:t xml:space="preserve"> which</w:t>
            </w:r>
            <w:r w:rsidRPr="00545C92">
              <w:rPr>
                <w:rFonts w:ascii="Verdana" w:hAnsi="Verdana"/>
              </w:rPr>
              <w:t xml:space="preserve"> are included in the </w:t>
            </w:r>
            <w:r w:rsidR="0081621A" w:rsidRPr="00545C92">
              <w:rPr>
                <w:rFonts w:ascii="Verdana" w:hAnsi="Verdana"/>
              </w:rPr>
              <w:t xml:space="preserve">new </w:t>
            </w:r>
            <w:r w:rsidRPr="00545C92">
              <w:rPr>
                <w:rFonts w:ascii="Verdana" w:hAnsi="Verdana"/>
              </w:rPr>
              <w:t>installation</w:t>
            </w:r>
            <w:r w:rsidR="0081621A" w:rsidRPr="00545C92">
              <w:rPr>
                <w:rFonts w:ascii="Verdana" w:hAnsi="Verdana"/>
              </w:rPr>
              <w:t xml:space="preserve"> for 15J</w:t>
            </w:r>
            <w:r w:rsidRPr="00545C92">
              <w:rPr>
                <w:rFonts w:ascii="Verdana" w:hAnsi="Verdana"/>
              </w:rPr>
              <w:t xml:space="preserve"> and whether that is enough or if we need to provide any additional free themes for student</w:t>
            </w:r>
            <w:r w:rsidR="0066754B">
              <w:rPr>
                <w:rFonts w:ascii="Verdana" w:hAnsi="Verdana"/>
              </w:rPr>
              <w:t xml:space="preserve"> use</w:t>
            </w:r>
            <w:r w:rsidRPr="00545C92">
              <w:rPr>
                <w:rFonts w:ascii="Verdana" w:hAnsi="Verdana"/>
              </w:rPr>
              <w:t>.</w:t>
            </w:r>
          </w:p>
        </w:tc>
      </w:tr>
      <w:tr w:rsidR="003F6D9A" w:rsidRPr="00545C92" w:rsidTr="004A099A">
        <w:tc>
          <w:tcPr>
            <w:tcW w:w="2376" w:type="dxa"/>
            <w:shd w:val="clear" w:color="auto" w:fill="auto"/>
          </w:tcPr>
          <w:p w:rsidR="003F6D9A" w:rsidRPr="00545C92" w:rsidRDefault="00AD0EAC" w:rsidP="004A099A">
            <w:pPr>
              <w:rPr>
                <w:rFonts w:ascii="Verdana" w:hAnsi="Verdana"/>
              </w:rPr>
            </w:pPr>
            <w:r w:rsidRPr="00545C92">
              <w:rPr>
                <w:rFonts w:ascii="Verdana" w:hAnsi="Verdana"/>
              </w:rPr>
              <w:t>Multiple User</w:t>
            </w:r>
          </w:p>
        </w:tc>
        <w:tc>
          <w:tcPr>
            <w:tcW w:w="6146" w:type="dxa"/>
            <w:shd w:val="clear" w:color="auto" w:fill="auto"/>
          </w:tcPr>
          <w:p w:rsidR="003F6D9A" w:rsidRPr="00545C92" w:rsidRDefault="001B7C0D" w:rsidP="001B7C0D">
            <w:pPr>
              <w:overflowPunct w:val="0"/>
              <w:autoSpaceDE w:val="0"/>
              <w:autoSpaceDN w:val="0"/>
              <w:adjustRightInd w:val="0"/>
              <w:spacing w:line="260" w:lineRule="atLeast"/>
              <w:textAlignment w:val="baseline"/>
              <w:rPr>
                <w:rFonts w:ascii="Verdana" w:hAnsi="Verdana"/>
              </w:rPr>
            </w:pPr>
            <w:r w:rsidRPr="00545C92">
              <w:rPr>
                <w:rFonts w:ascii="Verdana" w:hAnsi="Verdana"/>
              </w:rPr>
              <w:t>Multiple users are now built in the standard version of WordPress and are part of a feature called Multi</w:t>
            </w:r>
            <w:r w:rsidR="0010579B" w:rsidRPr="00545C92">
              <w:rPr>
                <w:rFonts w:ascii="Verdana" w:hAnsi="Verdana"/>
              </w:rPr>
              <w:t>s</w:t>
            </w:r>
            <w:r w:rsidRPr="00545C92">
              <w:rPr>
                <w:rFonts w:ascii="Verdana" w:hAnsi="Verdana"/>
              </w:rPr>
              <w:t xml:space="preserve">ite.  There will be </w:t>
            </w:r>
            <w:r w:rsidR="00545C92">
              <w:rPr>
                <w:rFonts w:ascii="Verdana" w:hAnsi="Verdana"/>
              </w:rPr>
              <w:t xml:space="preserve">approximately </w:t>
            </w:r>
            <w:r w:rsidRPr="00545C92">
              <w:rPr>
                <w:rFonts w:ascii="Verdana" w:hAnsi="Verdana"/>
              </w:rPr>
              <w:t xml:space="preserve">20 </w:t>
            </w:r>
            <w:r w:rsidR="00545C92" w:rsidRPr="00545C92">
              <w:rPr>
                <w:rFonts w:ascii="Verdana" w:hAnsi="Verdana"/>
              </w:rPr>
              <w:t>colo</w:t>
            </w:r>
            <w:r w:rsidR="00545C92">
              <w:rPr>
                <w:rFonts w:ascii="Verdana" w:hAnsi="Verdana"/>
              </w:rPr>
              <w:t>u</w:t>
            </w:r>
            <w:r w:rsidR="00545C92" w:rsidRPr="00545C92">
              <w:rPr>
                <w:rFonts w:ascii="Verdana" w:hAnsi="Verdana"/>
              </w:rPr>
              <w:t>r-coded</w:t>
            </w:r>
            <w:r w:rsidR="00E60118" w:rsidRPr="00545C92">
              <w:rPr>
                <w:rFonts w:ascii="Verdana" w:hAnsi="Verdana"/>
              </w:rPr>
              <w:t xml:space="preserve"> </w:t>
            </w:r>
            <w:r w:rsidR="00545C92" w:rsidRPr="00545C92">
              <w:rPr>
                <w:rFonts w:ascii="Verdana" w:hAnsi="Verdana"/>
              </w:rPr>
              <w:t xml:space="preserve">user </w:t>
            </w:r>
            <w:r w:rsidRPr="00545C92">
              <w:rPr>
                <w:rFonts w:ascii="Verdana" w:hAnsi="Verdana"/>
              </w:rPr>
              <w:t>groups divided into four sub-groups.</w:t>
            </w:r>
          </w:p>
          <w:p w:rsidR="00FC0BB8" w:rsidRPr="00545C92" w:rsidRDefault="00FC0BB8" w:rsidP="00FC0BB8">
            <w:pPr>
              <w:rPr>
                <w:rFonts w:ascii="Verdana" w:hAnsi="Verdana"/>
              </w:rPr>
            </w:pPr>
            <w:r w:rsidRPr="00545C92">
              <w:rPr>
                <w:rFonts w:ascii="Verdana" w:hAnsi="Verdana"/>
              </w:rPr>
              <w:t>There are naming conventions for site names used by students. These site names include the name of the tutor and a group colour.</w:t>
            </w:r>
          </w:p>
          <w:p w:rsidR="0010579B" w:rsidRPr="00545C92" w:rsidRDefault="0010579B" w:rsidP="00FC0BB8">
            <w:pPr>
              <w:rPr>
                <w:rFonts w:ascii="Verdana" w:hAnsi="Verdana"/>
              </w:rPr>
            </w:pPr>
            <w:r w:rsidRPr="00545C92">
              <w:rPr>
                <w:rFonts w:ascii="Verdana" w:hAnsi="Verdana"/>
                <w:b/>
              </w:rPr>
              <w:t>Query:</w:t>
            </w:r>
            <w:r w:rsidRPr="00545C92">
              <w:rPr>
                <w:rFonts w:ascii="Verdana" w:hAnsi="Verdana"/>
              </w:rPr>
              <w:t xml:space="preserve"> Will the students be able to join themselves to the website or would a tutor need to do it?</w:t>
            </w:r>
          </w:p>
          <w:p w:rsidR="0049415E" w:rsidRPr="00545C92" w:rsidRDefault="001B7C0D" w:rsidP="0049415E">
            <w:pPr>
              <w:rPr>
                <w:rFonts w:ascii="Verdana" w:hAnsi="Verdana"/>
              </w:rPr>
            </w:pPr>
            <w:r w:rsidRPr="00545C92">
              <w:rPr>
                <w:rFonts w:ascii="Verdana" w:hAnsi="Verdana"/>
                <w:b/>
              </w:rPr>
              <w:t>Action:</w:t>
            </w:r>
            <w:r w:rsidRPr="00545C92">
              <w:rPr>
                <w:rFonts w:ascii="Verdana" w:hAnsi="Verdana"/>
              </w:rPr>
              <w:t xml:space="preserve"> </w:t>
            </w:r>
            <w:r w:rsidR="0049415E" w:rsidRPr="00545C92">
              <w:rPr>
                <w:rFonts w:ascii="Verdana" w:hAnsi="Verdana"/>
              </w:rPr>
              <w:t>Howard to investigate the user grouping methods on the new version of WordPress.  The new installation should be setup to match the current old version as much as possible, which will make the transition easier and minimise the level of content change.</w:t>
            </w:r>
          </w:p>
          <w:p w:rsidR="005465B5" w:rsidRPr="00545C92" w:rsidRDefault="0049415E" w:rsidP="005465B5">
            <w:pPr>
              <w:rPr>
                <w:rFonts w:ascii="Verdana" w:hAnsi="Verdana"/>
              </w:rPr>
            </w:pPr>
            <w:r w:rsidRPr="00545C92">
              <w:rPr>
                <w:rFonts w:ascii="Verdana" w:hAnsi="Verdana"/>
              </w:rPr>
              <w:t>LTS to find out how the wiki grouping is handled along with that for the forums and see if we can do the same for tutor grouping.</w:t>
            </w:r>
          </w:p>
        </w:tc>
      </w:tr>
      <w:tr w:rsidR="00AD0EAC" w:rsidRPr="00545C92" w:rsidTr="004A099A">
        <w:tc>
          <w:tcPr>
            <w:tcW w:w="2376" w:type="dxa"/>
            <w:shd w:val="clear" w:color="auto" w:fill="auto"/>
          </w:tcPr>
          <w:p w:rsidR="00AD0EAC" w:rsidRPr="00545C92" w:rsidRDefault="00AD0EAC" w:rsidP="004A099A">
            <w:pPr>
              <w:rPr>
                <w:rFonts w:ascii="Verdana" w:hAnsi="Verdana"/>
              </w:rPr>
            </w:pPr>
            <w:r w:rsidRPr="00545C92">
              <w:rPr>
                <w:rFonts w:ascii="Verdana" w:hAnsi="Verdana"/>
              </w:rPr>
              <w:t>History</w:t>
            </w:r>
          </w:p>
        </w:tc>
        <w:tc>
          <w:tcPr>
            <w:tcW w:w="6146" w:type="dxa"/>
            <w:shd w:val="clear" w:color="auto" w:fill="auto"/>
          </w:tcPr>
          <w:p w:rsidR="00AD0EAC" w:rsidRPr="00545C92" w:rsidRDefault="00AD0EAC" w:rsidP="00AD0EAC">
            <w:pPr>
              <w:overflowPunct w:val="0"/>
              <w:autoSpaceDE w:val="0"/>
              <w:autoSpaceDN w:val="0"/>
              <w:adjustRightInd w:val="0"/>
              <w:spacing w:line="260" w:lineRule="atLeast"/>
              <w:textAlignment w:val="baseline"/>
              <w:rPr>
                <w:rFonts w:ascii="Verdana" w:hAnsi="Verdana"/>
              </w:rPr>
            </w:pPr>
            <w:r w:rsidRPr="00545C92">
              <w:rPr>
                <w:rFonts w:ascii="Verdana" w:hAnsi="Verdana"/>
              </w:rPr>
              <w:t>For previous installations and setups of the WordPress</w:t>
            </w:r>
            <w:r w:rsidR="00E60118" w:rsidRPr="00545C92">
              <w:rPr>
                <w:rFonts w:ascii="Verdana" w:hAnsi="Verdana"/>
              </w:rPr>
              <w:t xml:space="preserve"> MU</w:t>
            </w:r>
            <w:r w:rsidRPr="00545C92">
              <w:rPr>
                <w:rFonts w:ascii="Verdana" w:hAnsi="Verdana"/>
              </w:rPr>
              <w:t xml:space="preserve"> part of T215, work was carried out by Jamie Daniels and Jane Bromley.</w:t>
            </w:r>
          </w:p>
        </w:tc>
      </w:tr>
      <w:tr w:rsidR="005465B5" w:rsidRPr="00545C92" w:rsidTr="004A099A">
        <w:tc>
          <w:tcPr>
            <w:tcW w:w="2376" w:type="dxa"/>
            <w:shd w:val="clear" w:color="auto" w:fill="auto"/>
          </w:tcPr>
          <w:p w:rsidR="005465B5" w:rsidRPr="00545C92" w:rsidRDefault="005465B5" w:rsidP="004A099A">
            <w:pPr>
              <w:rPr>
                <w:rFonts w:ascii="Verdana" w:hAnsi="Verdana"/>
              </w:rPr>
            </w:pPr>
            <w:r w:rsidRPr="00545C92">
              <w:rPr>
                <w:rFonts w:ascii="Verdana" w:hAnsi="Verdana"/>
              </w:rPr>
              <w:t>Blogs</w:t>
            </w:r>
          </w:p>
        </w:tc>
        <w:tc>
          <w:tcPr>
            <w:tcW w:w="6146" w:type="dxa"/>
            <w:shd w:val="clear" w:color="auto" w:fill="auto"/>
          </w:tcPr>
          <w:p w:rsidR="005465B5" w:rsidRPr="00545C92" w:rsidRDefault="005465B5" w:rsidP="00424E1B">
            <w:pPr>
              <w:rPr>
                <w:rFonts w:ascii="Verdana" w:hAnsi="Verdana"/>
              </w:rPr>
            </w:pPr>
            <w:r w:rsidRPr="00545C92">
              <w:rPr>
                <w:rFonts w:ascii="Verdana" w:hAnsi="Verdana"/>
              </w:rPr>
              <w:t>Nigel Robson in IT might know about WordPress blogs setup, via intranet – request a blog</w:t>
            </w:r>
          </w:p>
        </w:tc>
      </w:tr>
      <w:tr w:rsidR="005465B5" w:rsidRPr="00545C92" w:rsidTr="004A099A">
        <w:tc>
          <w:tcPr>
            <w:tcW w:w="2376" w:type="dxa"/>
            <w:shd w:val="clear" w:color="auto" w:fill="auto"/>
          </w:tcPr>
          <w:p w:rsidR="005465B5" w:rsidRPr="00545C92" w:rsidRDefault="005465B5" w:rsidP="004A099A">
            <w:pPr>
              <w:rPr>
                <w:rFonts w:ascii="Verdana" w:hAnsi="Verdana"/>
              </w:rPr>
            </w:pPr>
            <w:r w:rsidRPr="00545C92">
              <w:rPr>
                <w:rFonts w:ascii="Verdana" w:hAnsi="Verdana"/>
              </w:rPr>
              <w:t>Plugins</w:t>
            </w:r>
          </w:p>
        </w:tc>
        <w:tc>
          <w:tcPr>
            <w:tcW w:w="6146" w:type="dxa"/>
            <w:shd w:val="clear" w:color="auto" w:fill="auto"/>
          </w:tcPr>
          <w:p w:rsidR="005465B5" w:rsidRPr="00545C92" w:rsidRDefault="005465B5" w:rsidP="005465B5">
            <w:pPr>
              <w:rPr>
                <w:rFonts w:ascii="Verdana" w:hAnsi="Verdana"/>
              </w:rPr>
            </w:pPr>
            <w:r w:rsidRPr="00545C92">
              <w:rPr>
                <w:rFonts w:ascii="Verdana" w:hAnsi="Verdana"/>
              </w:rPr>
              <w:t>The plugins currently in use include calendar, map, web-form sign-in, weather info etc.</w:t>
            </w:r>
          </w:p>
        </w:tc>
      </w:tr>
      <w:tr w:rsidR="00424E1B" w:rsidRPr="00545C92" w:rsidTr="004A099A">
        <w:tc>
          <w:tcPr>
            <w:tcW w:w="2376" w:type="dxa"/>
            <w:shd w:val="clear" w:color="auto" w:fill="auto"/>
          </w:tcPr>
          <w:p w:rsidR="00424E1B" w:rsidRPr="00545C92" w:rsidRDefault="00424E1B" w:rsidP="004A099A">
            <w:pPr>
              <w:rPr>
                <w:rFonts w:ascii="Verdana" w:hAnsi="Verdana"/>
              </w:rPr>
            </w:pPr>
            <w:r w:rsidRPr="00545C92">
              <w:rPr>
                <w:rFonts w:ascii="Verdana" w:hAnsi="Verdana"/>
              </w:rPr>
              <w:t>Editing</w:t>
            </w:r>
          </w:p>
        </w:tc>
        <w:tc>
          <w:tcPr>
            <w:tcW w:w="6146" w:type="dxa"/>
            <w:shd w:val="clear" w:color="auto" w:fill="auto"/>
          </w:tcPr>
          <w:p w:rsidR="00424E1B" w:rsidRPr="00545C92" w:rsidRDefault="00424E1B" w:rsidP="005465B5">
            <w:pPr>
              <w:rPr>
                <w:rFonts w:ascii="Verdana" w:hAnsi="Verdana"/>
              </w:rPr>
            </w:pPr>
            <w:r w:rsidRPr="00545C92">
              <w:rPr>
                <w:rFonts w:ascii="Verdana" w:hAnsi="Verdana"/>
              </w:rPr>
              <w:t>Once we know the level of content changes which need to be made for 15J due to WordPress re-versioning, we will be able to estimate how much LMD time is required to action those changes.</w:t>
            </w:r>
          </w:p>
        </w:tc>
      </w:tr>
    </w:tbl>
    <w:p w:rsidR="003F6D9A" w:rsidRDefault="003F6D9A"/>
    <w:p w:rsidR="005465B5" w:rsidRDefault="005465B5"/>
    <w:p w:rsidR="004D317D" w:rsidRDefault="004D317D">
      <w:r>
        <w:t xml:space="preserve">Next meeting: </w:t>
      </w:r>
      <w:proofErr w:type="spellStart"/>
      <w:r>
        <w:t>tbc</w:t>
      </w:r>
      <w:proofErr w:type="spellEnd"/>
    </w:p>
    <w:p w:rsidR="0088597A" w:rsidRDefault="0088597A"/>
    <w:sectPr w:rsidR="0088597A" w:rsidSect="00506E2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E9A"/>
    <w:multiLevelType w:val="hybridMultilevel"/>
    <w:tmpl w:val="DDAEFC08"/>
    <w:lvl w:ilvl="0" w:tplc="F600F89A">
      <w:start w:val="87"/>
      <w:numFmt w:val="bullet"/>
      <w:lvlText w:val="-"/>
      <w:lvlJc w:val="left"/>
      <w:pPr>
        <w:ind w:left="720" w:hanging="360"/>
      </w:pPr>
      <w:rPr>
        <w:rFonts w:ascii="Verdana" w:eastAsia="Times New Roman" w:hAnsi="Verdan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CD674F"/>
    <w:multiLevelType w:val="hybridMultilevel"/>
    <w:tmpl w:val="30022992"/>
    <w:lvl w:ilvl="0" w:tplc="134E0F3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2D"/>
    <w:rsid w:val="00034512"/>
    <w:rsid w:val="00074194"/>
    <w:rsid w:val="0010579B"/>
    <w:rsid w:val="001B7C0D"/>
    <w:rsid w:val="00291C65"/>
    <w:rsid w:val="002D39CE"/>
    <w:rsid w:val="00360DE6"/>
    <w:rsid w:val="00385E1E"/>
    <w:rsid w:val="003F6D9A"/>
    <w:rsid w:val="004206C0"/>
    <w:rsid w:val="00424E1B"/>
    <w:rsid w:val="0049415E"/>
    <w:rsid w:val="004D317D"/>
    <w:rsid w:val="00506E2D"/>
    <w:rsid w:val="00545C92"/>
    <w:rsid w:val="005465B5"/>
    <w:rsid w:val="00621499"/>
    <w:rsid w:val="0066754B"/>
    <w:rsid w:val="00743BA4"/>
    <w:rsid w:val="0081621A"/>
    <w:rsid w:val="0088597A"/>
    <w:rsid w:val="009820B4"/>
    <w:rsid w:val="009D210B"/>
    <w:rsid w:val="00AD0EAC"/>
    <w:rsid w:val="00AE1ECE"/>
    <w:rsid w:val="00B16E79"/>
    <w:rsid w:val="00B45498"/>
    <w:rsid w:val="00B524C4"/>
    <w:rsid w:val="00C036B6"/>
    <w:rsid w:val="00C13353"/>
    <w:rsid w:val="00C47C3B"/>
    <w:rsid w:val="00C75826"/>
    <w:rsid w:val="00CF22FD"/>
    <w:rsid w:val="00DF6903"/>
    <w:rsid w:val="00E60118"/>
    <w:rsid w:val="00FC0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lang w:val="en-GB"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85E1E"/>
    <w:pPr>
      <w:keepNext/>
      <w:keepLines/>
      <w:tabs>
        <w:tab w:val="left" w:pos="720"/>
      </w:tabs>
      <w:overflowPunct w:val="0"/>
      <w:autoSpaceDE w:val="0"/>
      <w:autoSpaceDN w:val="0"/>
      <w:spacing w:before="360" w:line="360" w:lineRule="exact"/>
      <w:textAlignment w:val="baseline"/>
      <w:outlineLvl w:val="0"/>
    </w:pPr>
    <w:rPr>
      <w:rFonts w:eastAsia="Times New Roman"/>
      <w:b/>
      <w:bCs/>
      <w:sz w:val="32"/>
      <w:szCs w:val="32"/>
      <w:lang w:eastAsia="zh-TW"/>
    </w:rPr>
  </w:style>
  <w:style w:type="paragraph" w:styleId="Heading2">
    <w:name w:val="heading 2"/>
    <w:basedOn w:val="Normal"/>
    <w:next w:val="Normal"/>
    <w:link w:val="Heading2Char"/>
    <w:qFormat/>
    <w:rsid w:val="00385E1E"/>
    <w:pPr>
      <w:keepNext/>
      <w:overflowPunct w:val="0"/>
      <w:autoSpaceDE w:val="0"/>
      <w:autoSpaceDN w:val="0"/>
      <w:adjustRightInd w:val="0"/>
      <w:spacing w:before="180"/>
      <w:textAlignment w:val="baseline"/>
      <w:outlineLvl w:val="1"/>
    </w:pPr>
    <w:rPr>
      <w:rFonts w:eastAsia="Times New Roman"/>
      <w:b/>
      <w:bCs/>
      <w:i/>
      <w:iCs/>
      <w:sz w:val="24"/>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2D"/>
    <w:pPr>
      <w:ind w:left="720"/>
      <w:contextualSpacing/>
    </w:pPr>
  </w:style>
  <w:style w:type="character" w:customStyle="1" w:styleId="Heading1Char">
    <w:name w:val="Heading 1 Char"/>
    <w:basedOn w:val="DefaultParagraphFont"/>
    <w:link w:val="Heading1"/>
    <w:rsid w:val="00385E1E"/>
    <w:rPr>
      <w:rFonts w:eastAsia="Times New Roman"/>
      <w:b/>
      <w:bCs/>
      <w:sz w:val="32"/>
      <w:szCs w:val="32"/>
      <w:lang w:eastAsia="zh-TW"/>
    </w:rPr>
  </w:style>
  <w:style w:type="character" w:customStyle="1" w:styleId="Heading2Char">
    <w:name w:val="Heading 2 Char"/>
    <w:basedOn w:val="DefaultParagraphFont"/>
    <w:link w:val="Heading2"/>
    <w:rsid w:val="00385E1E"/>
    <w:rPr>
      <w:rFonts w:eastAsia="Times New Roman"/>
      <w:b/>
      <w:bCs/>
      <w:i/>
      <w:iCs/>
      <w:sz w:val="24"/>
      <w:szCs w:val="28"/>
      <w:lang w:eastAsia="zh-TW"/>
    </w:rPr>
  </w:style>
  <w:style w:type="character" w:customStyle="1" w:styleId="ITcItalic">
    <w:name w:val="ITcItalic"/>
    <w:rsid w:val="00385E1E"/>
    <w:rPr>
      <w:i/>
      <w:iCs/>
    </w:rPr>
  </w:style>
  <w:style w:type="paragraph" w:customStyle="1" w:styleId="TLpTableLeft">
    <w:name w:val="TLpTableLeft"/>
    <w:basedOn w:val="Normal"/>
    <w:rsid w:val="00385E1E"/>
    <w:pPr>
      <w:overflowPunct w:val="0"/>
      <w:autoSpaceDE w:val="0"/>
      <w:autoSpaceDN w:val="0"/>
      <w:spacing w:before="40" w:after="40" w:line="240" w:lineRule="atLeast"/>
      <w:textAlignment w:val="baseline"/>
    </w:pPr>
    <w:rPr>
      <w:rFonts w:ascii="Verdana" w:eastAsia="Times New Roman" w:hAnsi="Verdana"/>
      <w:lang w:eastAsia="zh-TW"/>
    </w:rPr>
  </w:style>
  <w:style w:type="paragraph" w:customStyle="1" w:styleId="THpTableHead">
    <w:name w:val="THpTableHead"/>
    <w:basedOn w:val="Normal"/>
    <w:next w:val="TLpTableLeft"/>
    <w:rsid w:val="00385E1E"/>
    <w:pPr>
      <w:keepNext/>
      <w:tabs>
        <w:tab w:val="left" w:pos="960"/>
      </w:tabs>
      <w:overflowPunct w:val="0"/>
      <w:autoSpaceDE w:val="0"/>
      <w:autoSpaceDN w:val="0"/>
      <w:adjustRightInd w:val="0"/>
      <w:spacing w:before="360" w:after="240" w:line="260" w:lineRule="atLeast"/>
      <w:textAlignment w:val="baseline"/>
    </w:pPr>
    <w:rPr>
      <w:rFonts w:eastAsia="Times New Roman"/>
      <w:b/>
      <w:bCs/>
      <w:sz w:val="28"/>
      <w:szCs w:val="28"/>
      <w:lang w:eastAsia="zh-TW"/>
    </w:rPr>
  </w:style>
  <w:style w:type="paragraph" w:customStyle="1" w:styleId="CLpColumnHeadLeft">
    <w:name w:val="CLpColumnHeadLeft"/>
    <w:basedOn w:val="TLpTableLeft"/>
    <w:rsid w:val="00385E1E"/>
    <w:pPr>
      <w:spacing w:before="60" w:after="60"/>
    </w:pPr>
    <w:rPr>
      <w:bCs/>
      <w:i/>
      <w:szCs w:val="22"/>
    </w:rPr>
  </w:style>
  <w:style w:type="paragraph" w:customStyle="1" w:styleId="TableContents">
    <w:name w:val="Table Contents"/>
    <w:basedOn w:val="BodyText"/>
    <w:rsid w:val="00385E1E"/>
    <w:pPr>
      <w:widowControl w:val="0"/>
      <w:suppressAutoHyphens/>
      <w:spacing w:before="0" w:after="0"/>
    </w:pPr>
    <w:rPr>
      <w:rFonts w:ascii="Times New Roman" w:eastAsia="Times New Roman" w:hAnsi="Times New Roman"/>
      <w:sz w:val="24"/>
      <w:szCs w:val="24"/>
      <w:lang w:val="en-US"/>
    </w:rPr>
  </w:style>
  <w:style w:type="character" w:customStyle="1" w:styleId="field-label-left1">
    <w:name w:val="field-label-left1"/>
    <w:rsid w:val="00385E1E"/>
    <w:rPr>
      <w:color w:val="464646"/>
    </w:rPr>
  </w:style>
  <w:style w:type="paragraph" w:styleId="BodyText">
    <w:name w:val="Body Text"/>
    <w:basedOn w:val="Normal"/>
    <w:link w:val="BodyTextChar"/>
    <w:uiPriority w:val="99"/>
    <w:semiHidden/>
    <w:unhideWhenUsed/>
    <w:rsid w:val="00385E1E"/>
    <w:pPr>
      <w:spacing w:after="120"/>
    </w:pPr>
  </w:style>
  <w:style w:type="character" w:customStyle="1" w:styleId="BodyTextChar">
    <w:name w:val="Body Text Char"/>
    <w:basedOn w:val="DefaultParagraphFont"/>
    <w:link w:val="BodyText"/>
    <w:uiPriority w:val="99"/>
    <w:semiHidden/>
    <w:rsid w:val="00385E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lang w:val="en-GB"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85E1E"/>
    <w:pPr>
      <w:keepNext/>
      <w:keepLines/>
      <w:tabs>
        <w:tab w:val="left" w:pos="720"/>
      </w:tabs>
      <w:overflowPunct w:val="0"/>
      <w:autoSpaceDE w:val="0"/>
      <w:autoSpaceDN w:val="0"/>
      <w:spacing w:before="360" w:line="360" w:lineRule="exact"/>
      <w:textAlignment w:val="baseline"/>
      <w:outlineLvl w:val="0"/>
    </w:pPr>
    <w:rPr>
      <w:rFonts w:eastAsia="Times New Roman"/>
      <w:b/>
      <w:bCs/>
      <w:sz w:val="32"/>
      <w:szCs w:val="32"/>
      <w:lang w:eastAsia="zh-TW"/>
    </w:rPr>
  </w:style>
  <w:style w:type="paragraph" w:styleId="Heading2">
    <w:name w:val="heading 2"/>
    <w:basedOn w:val="Normal"/>
    <w:next w:val="Normal"/>
    <w:link w:val="Heading2Char"/>
    <w:qFormat/>
    <w:rsid w:val="00385E1E"/>
    <w:pPr>
      <w:keepNext/>
      <w:overflowPunct w:val="0"/>
      <w:autoSpaceDE w:val="0"/>
      <w:autoSpaceDN w:val="0"/>
      <w:adjustRightInd w:val="0"/>
      <w:spacing w:before="180"/>
      <w:textAlignment w:val="baseline"/>
      <w:outlineLvl w:val="1"/>
    </w:pPr>
    <w:rPr>
      <w:rFonts w:eastAsia="Times New Roman"/>
      <w:b/>
      <w:bCs/>
      <w:i/>
      <w:iCs/>
      <w:sz w:val="24"/>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2D"/>
    <w:pPr>
      <w:ind w:left="720"/>
      <w:contextualSpacing/>
    </w:pPr>
  </w:style>
  <w:style w:type="character" w:customStyle="1" w:styleId="Heading1Char">
    <w:name w:val="Heading 1 Char"/>
    <w:basedOn w:val="DefaultParagraphFont"/>
    <w:link w:val="Heading1"/>
    <w:rsid w:val="00385E1E"/>
    <w:rPr>
      <w:rFonts w:eastAsia="Times New Roman"/>
      <w:b/>
      <w:bCs/>
      <w:sz w:val="32"/>
      <w:szCs w:val="32"/>
      <w:lang w:eastAsia="zh-TW"/>
    </w:rPr>
  </w:style>
  <w:style w:type="character" w:customStyle="1" w:styleId="Heading2Char">
    <w:name w:val="Heading 2 Char"/>
    <w:basedOn w:val="DefaultParagraphFont"/>
    <w:link w:val="Heading2"/>
    <w:rsid w:val="00385E1E"/>
    <w:rPr>
      <w:rFonts w:eastAsia="Times New Roman"/>
      <w:b/>
      <w:bCs/>
      <w:i/>
      <w:iCs/>
      <w:sz w:val="24"/>
      <w:szCs w:val="28"/>
      <w:lang w:eastAsia="zh-TW"/>
    </w:rPr>
  </w:style>
  <w:style w:type="character" w:customStyle="1" w:styleId="ITcItalic">
    <w:name w:val="ITcItalic"/>
    <w:rsid w:val="00385E1E"/>
    <w:rPr>
      <w:i/>
      <w:iCs/>
    </w:rPr>
  </w:style>
  <w:style w:type="paragraph" w:customStyle="1" w:styleId="TLpTableLeft">
    <w:name w:val="TLpTableLeft"/>
    <w:basedOn w:val="Normal"/>
    <w:rsid w:val="00385E1E"/>
    <w:pPr>
      <w:overflowPunct w:val="0"/>
      <w:autoSpaceDE w:val="0"/>
      <w:autoSpaceDN w:val="0"/>
      <w:spacing w:before="40" w:after="40" w:line="240" w:lineRule="atLeast"/>
      <w:textAlignment w:val="baseline"/>
    </w:pPr>
    <w:rPr>
      <w:rFonts w:ascii="Verdana" w:eastAsia="Times New Roman" w:hAnsi="Verdana"/>
      <w:lang w:eastAsia="zh-TW"/>
    </w:rPr>
  </w:style>
  <w:style w:type="paragraph" w:customStyle="1" w:styleId="THpTableHead">
    <w:name w:val="THpTableHead"/>
    <w:basedOn w:val="Normal"/>
    <w:next w:val="TLpTableLeft"/>
    <w:rsid w:val="00385E1E"/>
    <w:pPr>
      <w:keepNext/>
      <w:tabs>
        <w:tab w:val="left" w:pos="960"/>
      </w:tabs>
      <w:overflowPunct w:val="0"/>
      <w:autoSpaceDE w:val="0"/>
      <w:autoSpaceDN w:val="0"/>
      <w:adjustRightInd w:val="0"/>
      <w:spacing w:before="360" w:after="240" w:line="260" w:lineRule="atLeast"/>
      <w:textAlignment w:val="baseline"/>
    </w:pPr>
    <w:rPr>
      <w:rFonts w:eastAsia="Times New Roman"/>
      <w:b/>
      <w:bCs/>
      <w:sz w:val="28"/>
      <w:szCs w:val="28"/>
      <w:lang w:eastAsia="zh-TW"/>
    </w:rPr>
  </w:style>
  <w:style w:type="paragraph" w:customStyle="1" w:styleId="CLpColumnHeadLeft">
    <w:name w:val="CLpColumnHeadLeft"/>
    <w:basedOn w:val="TLpTableLeft"/>
    <w:rsid w:val="00385E1E"/>
    <w:pPr>
      <w:spacing w:before="60" w:after="60"/>
    </w:pPr>
    <w:rPr>
      <w:bCs/>
      <w:i/>
      <w:szCs w:val="22"/>
    </w:rPr>
  </w:style>
  <w:style w:type="paragraph" w:customStyle="1" w:styleId="TableContents">
    <w:name w:val="Table Contents"/>
    <w:basedOn w:val="BodyText"/>
    <w:rsid w:val="00385E1E"/>
    <w:pPr>
      <w:widowControl w:val="0"/>
      <w:suppressAutoHyphens/>
      <w:spacing w:before="0" w:after="0"/>
    </w:pPr>
    <w:rPr>
      <w:rFonts w:ascii="Times New Roman" w:eastAsia="Times New Roman" w:hAnsi="Times New Roman"/>
      <w:sz w:val="24"/>
      <w:szCs w:val="24"/>
      <w:lang w:val="en-US"/>
    </w:rPr>
  </w:style>
  <w:style w:type="character" w:customStyle="1" w:styleId="field-label-left1">
    <w:name w:val="field-label-left1"/>
    <w:rsid w:val="00385E1E"/>
    <w:rPr>
      <w:color w:val="464646"/>
    </w:rPr>
  </w:style>
  <w:style w:type="paragraph" w:styleId="BodyText">
    <w:name w:val="Body Text"/>
    <w:basedOn w:val="Normal"/>
    <w:link w:val="BodyTextChar"/>
    <w:uiPriority w:val="99"/>
    <w:semiHidden/>
    <w:unhideWhenUsed/>
    <w:rsid w:val="00385E1E"/>
    <w:pPr>
      <w:spacing w:after="120"/>
    </w:pPr>
  </w:style>
  <w:style w:type="character" w:customStyle="1" w:styleId="BodyTextChar">
    <w:name w:val="Body Text Char"/>
    <w:basedOn w:val="DefaultParagraphFont"/>
    <w:link w:val="BodyText"/>
    <w:uiPriority w:val="99"/>
    <w:semiHidden/>
    <w:rsid w:val="00385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758</Words>
  <Characters>4327</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Gareth.Hudson</dc:creator>
  <cp:lastModifiedBy>Howard.Davies</cp:lastModifiedBy>
  <cp:revision>2</cp:revision>
  <dcterms:created xsi:type="dcterms:W3CDTF">2014-06-16T09:50:00Z</dcterms:created>
  <dcterms:modified xsi:type="dcterms:W3CDTF">2014-06-16T09:50:00Z</dcterms:modified>
</cp:coreProperties>
</file>