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exact" w:line="720"/>
        <w:jc w:val="center"/>
      </w:pPr>
      <w:r>
        <w:rPr>
          <w:rFonts w:ascii="黑体" w:hAnsi="黑体" w:eastAsia="黑体"/>
          <w:b/>
          <w:color w:val="000000"/>
          <w:sz w:val="44"/>
        </w:rPr>
        <w:t>创新研究院2026年8月月度例会汇报</w:t>
      </w:r>
    </w:p>
    <w:p>
      <w:pPr>
        <w:spacing w:before="0" w:after="480" w:lineRule="exact" w:line="560"/>
        <w:jc w:val="center"/>
      </w:pPr>
      <w:r>
        <w:rPr>
          <w:rFonts w:ascii="楷体" w:hAnsi="楷体" w:eastAsia="楷体"/>
          <w:b w:val="0"/>
          <w:color w:val="000000"/>
          <w:sz w:val="28"/>
        </w:rPr>
        <w:t>（计划〔创新性〕工作3项＋任务〔事务性〕工作5项）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一、计划（创新性）工作3项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（一）贵大数据平台招标项目投标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8月20日截止前，完成投标可行性评估与材料准备，启动标书编制。该项目预算约480万元，含8卡GPGPU计算节点与公共服务平台软件，是我院切入高校大数据公共服务平台赛道的关键一标，AI算法类业绩加分权重高，本月重点攻克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（二）商机雷达系统产出转化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推进商机雷达系统完成M4阶段建设，产出首期标讯周报，实现从"标讯自动采集"到"决策参考产出"的闭环，让AI工具直接服务经营决策。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（三）省网安中心联合办学深化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组织人工智能训练师学员认定考试报名与考前准备，深化"招生代理+联合办学"合作模式，拓展培训生源与认证规模，形成可复制的培训收入模式。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二、任务（事务性）工作5项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（一）正高级工程师申报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推进副高取得年份、发明专利、标准等申报材料核实，8月28日前完成系统申报提交。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（二）省重大专项实施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跟进已通过评审项目的8月批复，启动已批复2项省重大专项的实施工作。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（三）TeleAgent推广落地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跟踪全省注册目标（预计282人）达成情况，推进SKILL技能凝练与应用场景打造，确保纳入科创月度画像考核。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（四）自建系统优化迭代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末梢装维系统重点扩展至百富邦、盛通和等供应商使用；安管系统完成安全整改业务闭环功能并上线门户；全口径人资系统优化薪酬发放模块，根据创新院、工程公司试用情况改进软件。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（五）网络信息安全保障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继续做好HW2026保障工作；完成XC云和数据库采购，按计划推进信创替代实施（预计10月完成）。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