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3" w:lineRule="auto"/>
        <w:jc w:val="center"/>
      </w:pPr>
      <w:r>
        <w:rPr>
          <w:rFonts w:ascii="PingFang SC" w:hAnsi="PingFang SC" w:eastAsia="PingFang SC" w:cs="PingFang SC"/>
          <w:b/>
          <w:i w:val="0"/>
          <w:color w:val="A77B28"/>
          <w:sz w:val="24"/>
        </w:rPr>
        <w:t>MONTHLY STRATEGY REPORT</w:t>
      </w:r>
    </w:p>
    <w:p>
      <w:pPr>
        <w:spacing w:before="0" w:after="160" w:line="283" w:lineRule="auto"/>
        <w:jc w:val="center"/>
      </w:pPr>
      <w:r>
        <w:rPr>
          <w:rFonts w:ascii="PingFang SC" w:hAnsi="PingFang SC" w:eastAsia="PingFang SC" w:cs="PingFang SC"/>
          <w:b/>
          <w:i w:val="0"/>
          <w:color w:val="1F2937"/>
          <w:sz w:val="50"/>
        </w:rPr>
        <w:t>2026年8月宏观与投资策略月报</w:t>
      </w:r>
    </w:p>
    <w:p>
      <w:pPr>
        <w:spacing w:before="0" w:after="360" w:line="283" w:lineRule="auto"/>
        <w:jc w:val="center"/>
      </w:pPr>
      <w:r>
        <w:rPr>
          <w:rFonts w:ascii="PingFang SC" w:hAnsi="PingFang SC" w:eastAsia="PingFang SC" w:cs="PingFang SC"/>
          <w:b w:val="0"/>
          <w:i w:val="0"/>
          <w:color w:val="365F91"/>
          <w:sz w:val="28"/>
        </w:rPr>
        <w:t>宏观状态迁移与资产定价观察</w:t>
      </w:r>
    </w:p>
    <w:p>
      <w:pPr>
        <w:spacing w:before="0" w:after="320" w:line="283" w:lineRule="auto"/>
        <w:jc w:val="center"/>
      </w:pPr>
      <w:r>
        <w:rPr>
          <w:rFonts w:ascii="PingFang SC" w:hAnsi="PingFang SC" w:eastAsia="PingFang SC" w:cs="PingFang SC"/>
          <w:b w:val="0"/>
          <w:i w:val="0"/>
          <w:color w:val="5B6573"/>
          <w:sz w:val="20"/>
        </w:rPr>
        <w:t>2026年8月  |  现实验证截止 2026年9月18日  |  投资者版</w:t>
      </w:r>
    </w:p>
    <w:p>
      <w:pPr>
        <w:spacing w:before="0" w:after="320" w:line="283" w:lineRule="auto"/>
      </w:pPr>
      <w:r>
        <w:rPr>
          <w:rFonts w:ascii="PingFang SC" w:hAnsi="PingFang SC" w:eastAsia="PingFang SC" w:cs="PingFang SC"/>
          <w:b w:val="0"/>
          <w:i w:val="0"/>
          <w:color w:val="5B6573"/>
          <w:sz w:val="21"/>
        </w:rPr>
        <w:t>本报告基于已审核的《投资与宏观月度复盘：2026年8月》整理而成，保留原报告的判断边界，并将内部研究过程重组为投资者可读的宏观、资产与验证框架。</w:t>
      </w:r>
    </w:p>
    <w:p>
      <w:pPr>
        <w:spacing w:before="0" w:after="320" w:line="283" w:lineRule="auto"/>
      </w:pPr>
      <w:r>
        <w:rPr>
          <w:rFonts w:ascii="PingFang SC" w:hAnsi="PingFang SC" w:eastAsia="PingFang SC" w:cs="PingFang SC"/>
          <w:b/>
          <w:i w:val="0"/>
          <w:color w:val="17365D"/>
          <w:sz w:val="22"/>
        </w:rPr>
        <w:t>阅读提示：</w:t>
      </w:r>
      <w:r>
        <w:rPr>
          <w:rFonts w:ascii="PingFang SC" w:hAnsi="PingFang SC" w:eastAsia="PingFang SC" w:cs="PingFang SC"/>
          <w:b w:val="0"/>
          <w:i w:val="0"/>
          <w:color w:val="1F2937"/>
          <w:sz w:val="22"/>
        </w:rPr>
        <w:t>本文用于研究交流与信息整理，不构成任何证券、基金、期货或其他金融产品的投资建议、承诺或招揽。文中“关注”“观察”“验证”均不等同于交易指令。</w:t>
      </w:r>
    </w:p>
    <w:tbl>
      <w:tblPr>
        <w:tblStyle w:val="TableGrid"/>
        <w:tblW w:type="auto" w:w="0"/>
        <w:tblLayout w:type="fixed"/>
        <w:tblLook w:firstColumn="1" w:firstRow="1" w:lastColumn="0" w:lastRow="0" w:noHBand="0" w:noVBand="1" w:val="04A0"/>
      </w:tblPr>
      <w:tblGrid>
        <w:gridCol w:w="3255"/>
        <w:gridCol w:w="3255"/>
        <w:gridCol w:w="3255"/>
      </w:tblGrid>
      <w:tr>
        <w:tc>
          <w:tcPr>
            <w:tcW w:type="dxa" w:w="2016"/>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本期焦点</w:t>
            </w:r>
          </w:p>
        </w:tc>
        <w:tc>
          <w:tcPr>
            <w:tcW w:type="dxa" w:w="3672"/>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研究状态</w:t>
            </w:r>
          </w:p>
        </w:tc>
        <w:tc>
          <w:tcPr>
            <w:tcW w:type="dxa" w:w="3672"/>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投资者应关注</w:t>
            </w:r>
          </w:p>
        </w:tc>
      </w:tr>
      <w:tr>
        <w:tc>
          <w:tcPr>
            <w:tcW w:type="dxa" w:w="201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中国需求</w:t>
            </w:r>
          </w:p>
        </w:tc>
        <w:tc>
          <w:tcPr>
            <w:tcW w:type="dxa" w:w="3672"/>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总需求不足与结构性产业增长并存</w:t>
            </w:r>
          </w:p>
        </w:tc>
        <w:tc>
          <w:tcPr>
            <w:tcW w:type="dxa" w:w="3672"/>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产业韧性是否扩散到消费、地产和民间投资</w:t>
            </w:r>
          </w:p>
        </w:tc>
      </w:tr>
      <w:tr>
        <w:tc>
          <w:tcPr>
            <w:tcW w:type="dxa" w:w="2016"/>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美国增长</w:t>
            </w:r>
          </w:p>
        </w:tc>
        <w:tc>
          <w:tcPr>
            <w:tcW w:type="dxa" w:w="3672"/>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增长降温但未确认衰退</w:t>
            </w:r>
          </w:p>
        </w:tc>
        <w:tc>
          <w:tcPr>
            <w:tcW w:type="dxa" w:w="3672"/>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私人需求、利润、生产率与就业流量能否共存</w:t>
            </w:r>
          </w:p>
        </w:tc>
      </w:tr>
      <w:tr>
        <w:tc>
          <w:tcPr>
            <w:tcW w:type="dxa" w:w="201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利率与 AI</w:t>
            </w:r>
          </w:p>
        </w:tc>
        <w:tc>
          <w:tcPr>
            <w:tcW w:type="dxa" w:w="3672"/>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长端高位方向得到支持；AI 转向现金回报</w:t>
            </w:r>
          </w:p>
        </w:tc>
        <w:tc>
          <w:tcPr>
            <w:tcW w:type="dxa" w:w="3672"/>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期限溢价、政策反应、Capex 与 FCF 的传导</w:t>
            </w:r>
          </w:p>
        </w:tc>
      </w:tr>
    </w:tbl>
    <w:p>
      <w:pPr>
        <w:spacing w:before="0" w:after="20" w:line="283" w:lineRule="auto"/>
      </w:pPr>
    </w:p>
    <w:p>
      <w:pPr>
        <w:spacing w:before="200" w:after="0" w:line="283" w:lineRule="auto"/>
        <w:jc w:val="right"/>
      </w:pPr>
      <w:r>
        <w:rPr>
          <w:rFonts w:ascii="PingFang SC" w:hAnsi="PingFang SC" w:eastAsia="PingFang SC" w:cs="PingFang SC"/>
          <w:b w:val="0"/>
          <w:i w:val="0"/>
          <w:color w:val="5B6573"/>
          <w:sz w:val="18"/>
        </w:rPr>
        <w:t>研究团队 · 2026年9月</w:t>
      </w:r>
    </w:p>
    <w:p>
      <w:r>
        <w:br w:type="page"/>
      </w:r>
    </w:p>
    <w:p>
      <w:pPr>
        <w:pStyle w:val="Heading1"/>
        <w:keepNext/>
        <w:spacing w:before="280" w:after="120" w:line="240" w:lineRule="auto"/>
      </w:pPr>
      <w:r>
        <w:rPr>
          <w:rFonts w:ascii="PingFang SC" w:hAnsi="PingFang SC" w:eastAsia="PingFang SC" w:cs="PingFang SC"/>
          <w:b/>
          <w:i w:val="0"/>
          <w:color w:val="17365D"/>
          <w:sz w:val="30"/>
        </w:rPr>
        <w:t>执行摘要</w:t>
      </w:r>
    </w:p>
    <w:p>
      <w:pPr>
        <w:spacing w:before="0" w:after="160" w:line="283" w:lineRule="auto"/>
      </w:pPr>
      <w:r>
        <w:rPr>
          <w:rFonts w:ascii="PingFang SC" w:hAnsi="PingFang SC" w:eastAsia="PingFang SC" w:cs="PingFang SC"/>
          <w:b/>
          <w:i w:val="0"/>
          <w:color w:val="17365D"/>
          <w:sz w:val="22"/>
        </w:rPr>
        <w:t>核心判断：</w:t>
      </w:r>
      <w:r>
        <w:rPr>
          <w:rFonts w:ascii="PingFang SC" w:hAnsi="PingFang SC" w:eastAsia="PingFang SC" w:cs="PingFang SC"/>
          <w:b w:val="0"/>
          <w:i w:val="0"/>
          <w:color w:val="1F2937"/>
          <w:sz w:val="22"/>
        </w:rPr>
        <w:t>8月不是宏观叙事简单转向，而是研究问题从“结论是否成立”迁移到“证据如何改变状态、资产如何完成传导”。中国需求扩散仍未确认，美国增长降温但未确认衰退；美联储路径判断出现方向错误，长端利率高位判断获得支持但机制尚未拆清。</w:t>
      </w:r>
    </w:p>
    <w:tbl>
      <w:tblPr>
        <w:tblStyle w:val="TableGrid"/>
        <w:tblW w:type="auto" w:w="0"/>
        <w:tblLayout w:type="fixed"/>
        <w:tblLook w:firstColumn="1" w:firstRow="1" w:lastColumn="0" w:lastRow="0" w:noHBand="0" w:noVBand="1" w:val="04A0"/>
      </w:tblPr>
      <w:tblGrid>
        <w:gridCol w:w="3255"/>
        <w:gridCol w:w="3255"/>
        <w:gridCol w:w="3255"/>
      </w:tblGrid>
      <w:tr>
        <w:tc>
          <w:tcPr>
            <w:tcW w:type="dxa" w:w="1440"/>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状态变化</w:t>
            </w:r>
          </w:p>
        </w:tc>
        <w:tc>
          <w:tcPr>
            <w:tcW w:type="dxa" w:w="4320"/>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本月结论</w:t>
            </w:r>
          </w:p>
        </w:tc>
        <w:tc>
          <w:tcPr>
            <w:tcW w:type="dxa" w:w="3600"/>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对投资者的含义</w:t>
            </w:r>
          </w:p>
        </w:tc>
      </w:tr>
      <w:tr>
        <w:tc>
          <w:tcPr>
            <w:tcW w:type="dxa" w:w="144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中国</w:t>
            </w:r>
          </w:p>
        </w:tc>
        <w:tc>
          <w:tcPr>
            <w:tcW w:type="dxa" w:w="432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结构性产业增长尚未形成私人需求扩散</w:t>
            </w:r>
          </w:p>
        </w:tc>
        <w:tc>
          <w:tcPr>
            <w:tcW w:type="dxa" w:w="360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不把产业强势直接外推为总量盈利或风险偏好改善</w:t>
            </w:r>
          </w:p>
        </w:tc>
      </w:tr>
      <w:tr>
        <w:tc>
          <w:tcPr>
            <w:tcW w:type="dxa" w:w="144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美国</w:t>
            </w:r>
          </w:p>
        </w:tc>
        <w:tc>
          <w:tcPr>
            <w:tcW w:type="dxa" w:w="432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低就业流量与私人需求、利润、生产率韧性并存</w:t>
            </w:r>
          </w:p>
        </w:tc>
        <w:tc>
          <w:tcPr>
            <w:tcW w:type="dxa" w:w="360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衰退交易需要更多同向证据，关注增长质量而非单一就业读数</w:t>
            </w:r>
          </w:p>
        </w:tc>
      </w:tr>
      <w:tr>
        <w:tc>
          <w:tcPr>
            <w:tcW w:type="dxa" w:w="144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政策与利率</w:t>
            </w:r>
          </w:p>
        </w:tc>
        <w:tc>
          <w:tcPr>
            <w:tcW w:type="dxa" w:w="432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9月加息方向判断错误；长端高位方向得到支持</w:t>
            </w:r>
          </w:p>
        </w:tc>
        <w:tc>
          <w:tcPr>
            <w:tcW w:type="dxa" w:w="360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分离政策路径、实际利率、财政供给与期限溢价的贡献</w:t>
            </w:r>
          </w:p>
        </w:tc>
      </w:tr>
    </w:tbl>
    <w:p>
      <w:pPr>
        <w:spacing w:before="0" w:after="20" w:line="283" w:lineRule="auto"/>
      </w:pPr>
    </w:p>
    <w:p>
      <w:pPr>
        <w:pStyle w:val="Heading2"/>
        <w:keepNext/>
        <w:spacing w:before="200" w:after="120" w:line="240" w:lineRule="auto"/>
      </w:pPr>
      <w:r>
        <w:rPr>
          <w:rFonts w:ascii="PingFang SC" w:hAnsi="PingFang SC" w:eastAsia="PingFang SC" w:cs="PingFang SC"/>
          <w:b/>
          <w:i w:val="0"/>
          <w:color w:val="365F91"/>
          <w:sz w:val="25"/>
        </w:rPr>
        <w:t>投资者阅读框架</w:t>
      </w:r>
    </w:p>
    <w:p>
      <w:pPr>
        <w:pStyle w:val="ListBullet"/>
        <w:spacing w:before="0" w:after="80" w:line="269" w:lineRule="auto"/>
      </w:pPr>
      <w:r>
        <w:rPr>
          <w:rFonts w:ascii="PingFang SC" w:hAnsi="PingFang SC" w:eastAsia="PingFang SC" w:cs="PingFang SC"/>
          <w:b w:val="0"/>
          <w:i w:val="0"/>
          <w:color w:val="1F2937"/>
          <w:sz w:val="21"/>
        </w:rPr>
        <w:t>先看传导：产业需求 → 资本开支 → 收入 → 自由现金流 → 资本回报 → 估值。任何一环断裂，都不应以第一环的强势替代资产定价判断。</w:t>
      </w:r>
    </w:p>
    <w:p>
      <w:pPr>
        <w:pStyle w:val="ListBullet"/>
        <w:spacing w:before="0" w:after="80" w:line="269" w:lineRule="auto"/>
      </w:pPr>
      <w:r>
        <w:rPr>
          <w:rFonts w:ascii="PingFang SC" w:hAnsi="PingFang SC" w:eastAsia="PingFang SC" w:cs="PingFang SC"/>
          <w:b w:val="0"/>
          <w:i w:val="0"/>
          <w:color w:val="1F2937"/>
          <w:sz w:val="21"/>
        </w:rPr>
        <w:t>再看验证：本报告把“已得到支持”“尚未解决”“仅事件触发”分开，避免把研究优先级误写成事实结论。</w:t>
      </w:r>
    </w:p>
    <w:p>
      <w:pPr>
        <w:pStyle w:val="ListBullet"/>
        <w:spacing w:before="0" w:after="80" w:line="269" w:lineRule="auto"/>
      </w:pPr>
      <w:r>
        <w:rPr>
          <w:rFonts w:ascii="PingFang SC" w:hAnsi="PingFang SC" w:eastAsia="PingFang SC" w:cs="PingFang SC"/>
          <w:b w:val="0"/>
          <w:i w:val="0"/>
          <w:color w:val="1F2937"/>
          <w:sz w:val="21"/>
        </w:rPr>
        <w:t>最后看风险：对 Fed 的方向预测失败保持事实陈述，不将一次结果直接升级为通用方法缺陷。</w:t>
      </w:r>
    </w:p>
    <w:p>
      <w:r>
        <w:br w:type="page"/>
      </w:r>
    </w:p>
    <w:p>
      <w:pPr>
        <w:pStyle w:val="Heading1"/>
        <w:keepNext/>
        <w:spacing w:before="280" w:after="120" w:line="240" w:lineRule="auto"/>
      </w:pPr>
      <w:r>
        <w:rPr>
          <w:rFonts w:ascii="PingFang SC" w:hAnsi="PingFang SC" w:eastAsia="PingFang SC" w:cs="PingFang SC"/>
          <w:b/>
          <w:i w:val="0"/>
          <w:color w:val="17365D"/>
          <w:sz w:val="30"/>
        </w:rPr>
        <w:t>宏观传导</w:t>
      </w:r>
    </w:p>
    <w:p>
      <w:pPr>
        <w:pStyle w:val="Heading2"/>
        <w:keepNext/>
        <w:spacing w:before="200" w:after="120" w:line="240" w:lineRule="auto"/>
      </w:pPr>
      <w:r>
        <w:rPr>
          <w:rFonts w:ascii="PingFang SC" w:hAnsi="PingFang SC" w:eastAsia="PingFang SC" w:cs="PingFang SC"/>
          <w:b/>
          <w:i w:val="0"/>
          <w:color w:val="365F91"/>
          <w:sz w:val="25"/>
        </w:rPr>
        <w:t>中国需求扩散仍是主要分歧</w:t>
      </w:r>
    </w:p>
    <w:p>
      <w:pPr>
        <w:spacing w:before="0" w:after="140" w:line="283" w:lineRule="auto"/>
      </w:pPr>
      <w:r>
        <w:rPr>
          <w:rFonts w:ascii="PingFang SC" w:hAnsi="PingFang SC" w:eastAsia="PingFang SC" w:cs="PingFang SC"/>
          <w:b w:val="0"/>
          <w:i w:val="0"/>
          <w:color w:val="1F2937"/>
          <w:sz w:val="22"/>
        </w:rPr>
        <w:t>8月更合适的描述是“总需求不足与结构性产业增长并存”。高技术制造、数字基础设施和出口相关活动保持一定韧性，但消费、房地产、民间投资和私人信用尚未形成同步改善。8月数据显示，社会消费品零售总额同比增长0.4%，1—8月累计增长1.1%；1—8月民间投资下降10.1%，房地产开发投资下降19.9%。这些数据支持“结构韧性尚未完成需求扩散”的基线。</w:t>
      </w:r>
    </w:p>
    <w:p>
      <w:pPr>
        <w:spacing w:before="0" w:after="160" w:line="283" w:lineRule="auto"/>
      </w:pPr>
      <w:r>
        <w:rPr>
          <w:rFonts w:ascii="PingFang SC" w:hAnsi="PingFang SC" w:eastAsia="PingFang SC" w:cs="PingFang SC"/>
          <w:b/>
          <w:i w:val="0"/>
          <w:color w:val="17365D"/>
          <w:sz w:val="22"/>
        </w:rPr>
        <w:t>关键验证：</w:t>
      </w:r>
      <w:r>
        <w:rPr>
          <w:rFonts w:ascii="PingFang SC" w:hAnsi="PingFang SC" w:eastAsia="PingFang SC" w:cs="PingFang SC"/>
          <w:b w:val="0"/>
          <w:i w:val="0"/>
          <w:color w:val="1F2937"/>
          <w:sz w:val="22"/>
        </w:rPr>
        <w:t>只有消费、地产、民间投资和私人信用中至少两个领域持续改善，并排除低基数、补贴和一次性政策脉冲，才足以提高“扩散开始”的置信度。</w:t>
      </w:r>
    </w:p>
    <w:p>
      <w:pPr>
        <w:pStyle w:val="Heading2"/>
        <w:keepNext/>
        <w:spacing w:before="200" w:after="120" w:line="240" w:lineRule="auto"/>
      </w:pPr>
      <w:r>
        <w:rPr>
          <w:rFonts w:ascii="PingFang SC" w:hAnsi="PingFang SC" w:eastAsia="PingFang SC" w:cs="PingFang SC"/>
          <w:b/>
          <w:i w:val="0"/>
          <w:color w:val="365F91"/>
          <w:sz w:val="25"/>
        </w:rPr>
        <w:t>美国增长质量比衰退标签更重要</w:t>
      </w:r>
    </w:p>
    <w:p>
      <w:pPr>
        <w:spacing w:before="0" w:after="140" w:line="283" w:lineRule="auto"/>
      </w:pPr>
      <w:r>
        <w:rPr>
          <w:rFonts w:ascii="PingFang SC" w:hAnsi="PingFang SC" w:eastAsia="PingFang SC" w:cs="PingFang SC"/>
          <w:b w:val="0"/>
          <w:i w:val="0"/>
          <w:color w:val="1F2937"/>
          <w:sz w:val="22"/>
        </w:rPr>
        <w:t>美国增长在8月的变化不是切换到衰退基线，而是“增长降温但未确认衰退”的原有判断获得更强支撑。8月就业报告显示非农新增16.2万人、失业率4.1%，同时前两个月就业修订合计上调5.5万人；二季度劳动生产率年化增长1.4%，同比增长2.2%。这组证据并不消除下行风险，但提醒投资者区分就业流量走弱与私人需求、利润、生产率同步恶化。</w:t>
      </w:r>
    </w:p>
    <w:p>
      <w:pPr>
        <w:pStyle w:val="Heading2"/>
        <w:keepNext/>
        <w:spacing w:before="200" w:after="120" w:line="240" w:lineRule="auto"/>
      </w:pPr>
      <w:r>
        <w:rPr>
          <w:rFonts w:ascii="PingFang SC" w:hAnsi="PingFang SC" w:eastAsia="PingFang SC" w:cs="PingFang SC"/>
          <w:b/>
          <w:i w:val="0"/>
          <w:color w:val="365F91"/>
          <w:sz w:val="25"/>
        </w:rPr>
        <w:t>政策路径与长端利率需要分层</w:t>
      </w:r>
    </w:p>
    <w:p>
      <w:pPr>
        <w:spacing w:before="0" w:after="140" w:line="283" w:lineRule="auto"/>
      </w:pPr>
      <w:r>
        <w:rPr>
          <w:rFonts w:ascii="PingFang SC" w:hAnsi="PingFang SC" w:eastAsia="PingFang SC" w:cs="PingFang SC"/>
          <w:b w:val="0"/>
          <w:i w:val="0"/>
          <w:color w:val="1F2937"/>
          <w:sz w:val="22"/>
        </w:rPr>
        <w:t>9月美联储实际加息25个基点至3.75%—4.00%，与8月中旬逐渐形成的“维持利率”基准相反，因此方向判断失败。与此同时，长端高位震荡的方向性判断得到较强支持，但8月财政部扩大长期国债回购操作的流动性支持，说明政策反应、期限溢价、实际利率、财政供给和能源因素需要分开识别。</w:t>
      </w:r>
    </w:p>
    <w:p>
      <w:r>
        <w:br w:type="page"/>
      </w:r>
    </w:p>
    <w:p>
      <w:pPr>
        <w:pStyle w:val="Heading1"/>
        <w:keepNext/>
        <w:spacing w:before="280" w:after="120" w:line="240" w:lineRule="auto"/>
      </w:pPr>
      <w:r>
        <w:rPr>
          <w:rFonts w:ascii="PingFang SC" w:hAnsi="PingFang SC" w:eastAsia="PingFang SC" w:cs="PingFang SC"/>
          <w:b/>
          <w:i w:val="0"/>
          <w:color w:val="17365D"/>
          <w:sz w:val="30"/>
        </w:rPr>
        <w:t>资产含义</w:t>
      </w:r>
    </w:p>
    <w:tbl>
      <w:tblPr>
        <w:tblStyle w:val="TableGrid"/>
        <w:tblW w:type="auto" w:w="0"/>
        <w:tblLayout w:type="fixed"/>
        <w:tblLook w:firstColumn="1" w:firstRow="1" w:lastColumn="0" w:lastRow="0" w:noHBand="0" w:noVBand="1" w:val="04A0"/>
      </w:tblPr>
      <w:tblGrid>
        <w:gridCol w:w="3255"/>
        <w:gridCol w:w="3255"/>
        <w:gridCol w:w="3255"/>
      </w:tblGrid>
      <w:tr>
        <w:tc>
          <w:tcPr>
            <w:tcW w:type="dxa" w:w="1944"/>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7"/>
              </w:rPr>
              <w:t>资产或主题</w:t>
            </w:r>
          </w:p>
        </w:tc>
        <w:tc>
          <w:tcPr>
            <w:tcW w:type="dxa" w:w="3960"/>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7"/>
              </w:rPr>
              <w:t>当前观察</w:t>
            </w:r>
          </w:p>
        </w:tc>
        <w:tc>
          <w:tcPr>
            <w:tcW w:type="dxa" w:w="3456"/>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7"/>
              </w:rPr>
              <w:t>下一步验证</w:t>
            </w:r>
          </w:p>
        </w:tc>
      </w:tr>
      <w:tr>
        <w:tc>
          <w:tcPr>
            <w:tcW w:type="dxa" w:w="194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中国权益与内需暴露</w:t>
            </w:r>
          </w:p>
        </w:tc>
        <w:tc>
          <w:tcPr>
            <w:tcW w:type="dxa" w:w="396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产业增长有韧性，但扩散到居民和私人部门尚未确认</w:t>
            </w:r>
          </w:p>
        </w:tc>
        <w:tc>
          <w:tcPr>
            <w:tcW w:type="dxa" w:w="345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消费、地产、民投、私人信用是否出现跨月同步改善</w:t>
            </w:r>
          </w:p>
        </w:tc>
      </w:tr>
      <w:tr>
        <w:tc>
          <w:tcPr>
            <w:tcW w:type="dxa" w:w="1944"/>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美国长久期资产</w:t>
            </w:r>
          </w:p>
        </w:tc>
        <w:tc>
          <w:tcPr>
            <w:tcW w:type="dxa" w:w="396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长端高位方向得到支持，政策和期限溢价机制未完全拆解</w:t>
            </w:r>
          </w:p>
        </w:tc>
        <w:tc>
          <w:tcPr>
            <w:tcW w:type="dxa" w:w="3456"/>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Fed、实际利率、财政供给、期限溢价和能源的增量解释力</w:t>
            </w:r>
          </w:p>
        </w:tc>
      </w:tr>
      <w:tr>
        <w:tc>
          <w:tcPr>
            <w:tcW w:type="dxa" w:w="194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AI 产业链</w:t>
            </w:r>
          </w:p>
        </w:tc>
        <w:tc>
          <w:tcPr>
            <w:tcW w:type="dxa" w:w="396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需求真实性已有较强证据，资产回报问题转向资本效率</w:t>
            </w:r>
          </w:p>
        </w:tc>
        <w:tc>
          <w:tcPr>
            <w:tcW w:type="dxa" w:w="345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按商业模式跟踪增量收入、Capex、FCF、ROIC、利润率和融资成本</w:t>
            </w:r>
          </w:p>
        </w:tc>
      </w:tr>
      <w:tr>
        <w:tc>
          <w:tcPr>
            <w:tcW w:type="dxa" w:w="1944"/>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黄金</w:t>
            </w:r>
          </w:p>
        </w:tc>
        <w:tc>
          <w:tcPr>
            <w:tcW w:type="dxa" w:w="396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实际利率、美元、风险溢价仍是主要框架，财政信用是竞争解释</w:t>
            </w:r>
          </w:p>
        </w:tc>
        <w:tc>
          <w:tcPr>
            <w:tcW w:type="dxa" w:w="3456"/>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控制传统变量后，财政信用是否持续提供独立解释</w:t>
            </w:r>
          </w:p>
        </w:tc>
      </w:tr>
      <w:tr>
        <w:tc>
          <w:tcPr>
            <w:tcW w:type="dxa" w:w="194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成品油与炼化</w:t>
            </w:r>
          </w:p>
        </w:tc>
        <w:tc>
          <w:tcPr>
            <w:tcW w:type="dxa" w:w="396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进入研究池，不构成已确认的资产主线</w:t>
            </w:r>
          </w:p>
        </w:tc>
        <w:tc>
          <w:tcPr>
            <w:tcW w:type="dxa" w:w="345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仅在出口限制、库存异常、炼厂受损或裂解价差冲击时重新展开</w:t>
            </w:r>
          </w:p>
        </w:tc>
      </w:tr>
    </w:tbl>
    <w:p>
      <w:pPr>
        <w:spacing w:before="0" w:after="20" w:line="283" w:lineRule="auto"/>
      </w:pPr>
    </w:p>
    <w:p>
      <w:pPr>
        <w:pStyle w:val="Heading2"/>
        <w:keepNext/>
        <w:spacing w:before="200" w:after="120" w:line="240" w:lineRule="auto"/>
      </w:pPr>
      <w:r>
        <w:rPr>
          <w:rFonts w:ascii="PingFang SC" w:hAnsi="PingFang SC" w:eastAsia="PingFang SC" w:cs="PingFang SC"/>
          <w:b/>
          <w:i w:val="0"/>
          <w:color w:val="365F91"/>
          <w:sz w:val="25"/>
        </w:rPr>
        <w:t>AI 研究问题已经迁移</w:t>
      </w:r>
    </w:p>
    <w:p>
      <w:pPr>
        <w:spacing w:before="0" w:after="140" w:line="283" w:lineRule="auto"/>
      </w:pPr>
      <w:r>
        <w:rPr>
          <w:rFonts w:ascii="PingFang SC" w:hAnsi="PingFang SC" w:eastAsia="PingFang SC" w:cs="PingFang SC"/>
          <w:b w:val="0"/>
          <w:i w:val="0"/>
          <w:color w:val="1F2937"/>
          <w:sz w:val="22"/>
        </w:rPr>
        <w:t>AI 需求强度在8月继续获得收入、云增长、设备资本开支和数据中心需求的支持，但“需求是否真实”带来的边际信息价值下降。新的关键问题是：为获得增量收入投入的资本，最终创造了多少增量现金回报。这里不能直接写成“资本效率已经恶化”；更稳健的做法是按云厂商、芯片公司和设备公司分别观察 Capex、收入增量、自由现金流、ROIC、毛利率与融资成本。</w:t>
      </w:r>
    </w:p>
    <w:p>
      <w:pPr>
        <w:pStyle w:val="Heading2"/>
        <w:keepNext/>
        <w:spacing w:before="200" w:after="120" w:line="240" w:lineRule="auto"/>
      </w:pPr>
      <w:r>
        <w:rPr>
          <w:rFonts w:ascii="PingFang SC" w:hAnsi="PingFang SC" w:eastAsia="PingFang SC" w:cs="PingFang SC"/>
          <w:b/>
          <w:i w:val="0"/>
          <w:color w:val="365F91"/>
          <w:sz w:val="25"/>
        </w:rPr>
        <w:t>黄金保留竞争解释</w:t>
      </w:r>
    </w:p>
    <w:p>
      <w:pPr>
        <w:spacing w:before="0" w:after="140" w:line="283" w:lineRule="auto"/>
      </w:pPr>
      <w:r>
        <w:rPr>
          <w:rFonts w:ascii="PingFang SC" w:hAnsi="PingFang SC" w:eastAsia="PingFang SC" w:cs="PingFang SC"/>
          <w:b w:val="0"/>
          <w:i w:val="0"/>
          <w:color w:val="1F2937"/>
          <w:sz w:val="22"/>
        </w:rPr>
        <w:t>黄金在高长期利率环境下的韧性使财政信用和风险溢价进入研究分叉，但后续表现仍对收益率和美元敏感。当前结论是“财政信用可能增加定价维度，尚未升级为主导因子”，而不是简单证伪或替换传统框架。</w:t>
      </w:r>
    </w:p>
    <w:p>
      <w:r>
        <w:br w:type="page"/>
      </w:r>
    </w:p>
    <w:p>
      <w:pPr>
        <w:pStyle w:val="Heading1"/>
        <w:keepNext/>
        <w:spacing w:before="280" w:after="120" w:line="240" w:lineRule="auto"/>
      </w:pPr>
      <w:r>
        <w:rPr>
          <w:rFonts w:ascii="PingFang SC" w:hAnsi="PingFang SC" w:eastAsia="PingFang SC" w:cs="PingFang SC"/>
          <w:b/>
          <w:i w:val="0"/>
          <w:color w:val="17365D"/>
          <w:sz w:val="30"/>
        </w:rPr>
        <w:t>预测复盘与验证</w:t>
      </w:r>
    </w:p>
    <w:tbl>
      <w:tblPr>
        <w:tblStyle w:val="TableGrid"/>
        <w:tblW w:type="auto" w:w="0"/>
        <w:tblLayout w:type="fixed"/>
        <w:tblLook w:firstColumn="1" w:firstRow="1" w:lastColumn="0" w:lastRow="0" w:noHBand="0" w:noVBand="1" w:val="04A0"/>
      </w:tblPr>
      <w:tblGrid>
        <w:gridCol w:w="3255"/>
        <w:gridCol w:w="3255"/>
        <w:gridCol w:w="3255"/>
      </w:tblGrid>
      <w:tr>
        <w:tc>
          <w:tcPr>
            <w:tcW w:type="dxa" w:w="2304"/>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判断</w:t>
            </w:r>
          </w:p>
        </w:tc>
        <w:tc>
          <w:tcPr>
            <w:tcW w:type="dxa" w:w="3168"/>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结果</w:t>
            </w:r>
          </w:p>
        </w:tc>
        <w:tc>
          <w:tcPr>
            <w:tcW w:type="dxa" w:w="3888"/>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8"/>
              </w:rPr>
              <w:t>应保留的结论</w:t>
            </w:r>
          </w:p>
        </w:tc>
      </w:tr>
      <w:tr>
        <w:tc>
          <w:tcPr>
            <w:tcW w:type="dxa" w:w="230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9月 Fed 维持利率</w:t>
            </w:r>
          </w:p>
        </w:tc>
        <w:tc>
          <w:tcPr>
            <w:tcW w:type="dxa" w:w="3168"/>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实际加息25个基点，方向错误</w:t>
            </w:r>
          </w:p>
        </w:tc>
        <w:tc>
          <w:tcPr>
            <w:tcW w:type="dxa" w:w="3888"/>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当时存在失效条件；需继续检查条件是否真正约束置信度、触发后是否及时更新</w:t>
            </w:r>
          </w:p>
        </w:tc>
      </w:tr>
      <w:tr>
        <w:tc>
          <w:tcPr>
            <w:tcW w:type="dxa" w:w="2304"/>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美国长端高位震荡</w:t>
            </w:r>
          </w:p>
        </w:tc>
        <w:tc>
          <w:tcPr>
            <w:tcW w:type="dxa" w:w="3168"/>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评价窗口内高位方向得到支持</w:t>
            </w:r>
          </w:p>
        </w:tc>
        <w:tc>
          <w:tcPr>
            <w:tcW w:type="dxa" w:w="3888"/>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8"/>
              </w:rPr>
              <w:t>方向正确不等于机制全部正确；需要拆分 Fed、实际利率、财政供给、期限溢价和能源</w:t>
            </w:r>
          </w:p>
        </w:tc>
      </w:tr>
    </w:tbl>
    <w:p>
      <w:pPr>
        <w:spacing w:before="0" w:after="20" w:line="283" w:lineRule="auto"/>
      </w:pPr>
    </w:p>
    <w:p>
      <w:pPr>
        <w:spacing w:before="0" w:after="180" w:line="283" w:lineRule="auto"/>
      </w:pPr>
      <w:r>
        <w:rPr>
          <w:rFonts w:ascii="PingFang SC" w:hAnsi="PingFang SC" w:eastAsia="PingFang SC" w:cs="PingFang SC"/>
          <w:b/>
          <w:i w:val="0"/>
          <w:color w:val="17365D"/>
          <w:sz w:val="22"/>
        </w:rPr>
        <w:t>研究纪律：</w:t>
      </w:r>
      <w:r>
        <w:rPr>
          <w:rFonts w:ascii="PingFang SC" w:hAnsi="PingFang SC" w:eastAsia="PingFang SC" w:cs="PingFang SC"/>
          <w:b w:val="0"/>
          <w:i w:val="0"/>
          <w:color w:val="1F2937"/>
          <w:sz w:val="22"/>
        </w:rPr>
        <w:t>评价政策预测时分别检查“条件有没有写出来、有没有真正影响置信度、条件触发后有没有改变状态”。这三个问题不能混为一谈。</w:t>
      </w:r>
    </w:p>
    <w:p>
      <w:pPr>
        <w:pStyle w:val="Heading2"/>
        <w:keepNext/>
        <w:spacing w:before="200" w:after="120" w:line="240" w:lineRule="auto"/>
      </w:pPr>
      <w:r>
        <w:rPr>
          <w:rFonts w:ascii="PingFang SC" w:hAnsi="PingFang SC" w:eastAsia="PingFang SC" w:cs="PingFang SC"/>
          <w:b/>
          <w:i w:val="0"/>
          <w:color w:val="365F91"/>
          <w:sz w:val="25"/>
        </w:rPr>
        <w:t>下一周期观察清单</w:t>
      </w:r>
    </w:p>
    <w:tbl>
      <w:tblPr>
        <w:tblStyle w:val="TableGrid"/>
        <w:tblW w:type="auto" w:w="0"/>
        <w:tblLayout w:type="fixed"/>
        <w:tblLook w:firstColumn="1" w:firstRow="1" w:lastColumn="0" w:lastRow="0" w:noHBand="0" w:noVBand="1" w:val="04A0"/>
      </w:tblPr>
      <w:tblGrid>
        <w:gridCol w:w="3255"/>
        <w:gridCol w:w="3255"/>
        <w:gridCol w:w="3255"/>
      </w:tblGrid>
      <w:tr>
        <w:tc>
          <w:tcPr>
            <w:tcW w:type="dxa" w:w="1944"/>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7"/>
              </w:rPr>
              <w:t>主题</w:t>
            </w:r>
          </w:p>
        </w:tc>
        <w:tc>
          <w:tcPr>
            <w:tcW w:type="dxa" w:w="2376"/>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7"/>
              </w:rPr>
              <w:t>研究动作</w:t>
            </w:r>
          </w:p>
        </w:tc>
        <w:tc>
          <w:tcPr>
            <w:tcW w:type="dxa" w:w="5040"/>
            <w:shd w:fill="17365D" w:val="clear"/>
            <w:tcBorders>
              <w:top w:val="single" w:sz="6" w:space="0" w:color="17365D"/>
              <w:left w:val="single" w:sz="6" w:space="0" w:color="17365D"/>
              <w:bottom w:val="single" w:sz="6" w:space="0" w:color="17365D"/>
              <w:right w:val="single" w:sz="6" w:space="0" w:color="17365D"/>
              <w:insideH w:val="single" w:sz="6" w:space="0" w:color="17365D"/>
              <w:insideV w:val="single" w:sz="6" w:space="0" w:color="17365D"/>
            </w:tcBorders>
            <w:tcMar>
              <w:top w:w="90" w:type="dxa"/>
              <w:start w:w="110" w:type="dxa"/>
              <w:bottom w:w="90" w:type="dxa"/>
              <w:end w:w="110" w:type="dxa"/>
            </w:tcMar>
            <w:vAlign w:val="center"/>
          </w:tcPr>
          <w:p>
            <w:pPr>
              <w:spacing w:before="0" w:after="0" w:line="240" w:lineRule="auto"/>
            </w:pPr>
            <w:r/>
            <w:r>
              <w:rPr>
                <w:rFonts w:ascii="PingFang SC" w:hAnsi="PingFang SC" w:eastAsia="PingFang SC" w:cs="PingFang SC"/>
                <w:b/>
                <w:i w:val="0"/>
                <w:color w:val="FFFFFF"/>
                <w:sz w:val="17"/>
              </w:rPr>
              <w:t>触发信号</w:t>
            </w:r>
          </w:p>
        </w:tc>
      </w:tr>
      <w:tr>
        <w:tc>
          <w:tcPr>
            <w:tcW w:type="dxa" w:w="194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中国私人需求</w:t>
            </w:r>
          </w:p>
        </w:tc>
        <w:tc>
          <w:tcPr>
            <w:tcW w:type="dxa" w:w="237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维持并减少重复确认</w:t>
            </w:r>
          </w:p>
        </w:tc>
        <w:tc>
          <w:tcPr>
            <w:tcW w:type="dxa" w:w="504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消费、地产、民投、私人信用中至少两个领域持续改善</w:t>
            </w:r>
          </w:p>
        </w:tc>
      </w:tr>
      <w:tr>
        <w:tc>
          <w:tcPr>
            <w:tcW w:type="dxa" w:w="1944"/>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美国增长质量</w:t>
            </w:r>
          </w:p>
        </w:tc>
        <w:tc>
          <w:tcPr>
            <w:tcW w:type="dxa" w:w="2376"/>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重新聚焦</w:t>
            </w:r>
          </w:p>
        </w:tc>
        <w:tc>
          <w:tcPr>
            <w:tcW w:type="dxa" w:w="504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就业修订、工时、消费、利润和信用条件同向变化</w:t>
            </w:r>
          </w:p>
        </w:tc>
      </w:tr>
      <w:tr>
        <w:tc>
          <w:tcPr>
            <w:tcW w:type="dxa" w:w="194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AI 资本效率</w:t>
            </w:r>
          </w:p>
        </w:tc>
        <w:tc>
          <w:tcPr>
            <w:tcW w:type="dxa" w:w="237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重新聚焦</w:t>
            </w:r>
          </w:p>
        </w:tc>
        <w:tc>
          <w:tcPr>
            <w:tcW w:type="dxa" w:w="504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增量收入与 Capex、FCF、ROIC 的关系出现可比证据</w:t>
            </w:r>
          </w:p>
        </w:tc>
      </w:tr>
      <w:tr>
        <w:tc>
          <w:tcPr>
            <w:tcW w:type="dxa" w:w="1944"/>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美国长端机制</w:t>
            </w:r>
          </w:p>
        </w:tc>
        <w:tc>
          <w:tcPr>
            <w:tcW w:type="dxa" w:w="2376"/>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维持但转向分解</w:t>
            </w:r>
          </w:p>
        </w:tc>
        <w:tc>
          <w:tcPr>
            <w:tcW w:type="dxa" w:w="5040"/>
            <w:shd w:fill="F4F7FA"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期限溢价、实际利率、财政供给或政策反应出现可区分变化</w:t>
            </w:r>
          </w:p>
        </w:tc>
      </w:tr>
      <w:tr>
        <w:tc>
          <w:tcPr>
            <w:tcW w:type="dxa" w:w="1944"/>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成品油与炼化</w:t>
            </w:r>
          </w:p>
        </w:tc>
        <w:tc>
          <w:tcPr>
            <w:tcW w:type="dxa" w:w="2376"/>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候选，仅事件触发</w:t>
            </w:r>
          </w:p>
        </w:tc>
        <w:tc>
          <w:tcPr>
            <w:tcW w:type="dxa" w:w="5040"/>
            <w:shd w:fill="EAF0F6" w:val="clear"/>
            <w:tcBorders>
              <w:top w:val="single" w:sz="6" w:space="0" w:color="D3DDE8"/>
              <w:left w:val="single" w:sz="6" w:space="0" w:color="D3DDE8"/>
              <w:bottom w:val="single" w:sz="6" w:space="0" w:color="D3DDE8"/>
              <w:right w:val="single" w:sz="6" w:space="0" w:color="D3DDE8"/>
              <w:insideH w:val="single" w:sz="6" w:space="0" w:color="D3DDE8"/>
              <w:insideV w:val="single" w:sz="6" w:space="0" w:color="D3DDE8"/>
            </w:tcBorders>
            <w:tcMar>
              <w:top w:w="90" w:type="dxa"/>
              <w:start w:w="110" w:type="dxa"/>
              <w:bottom w:w="90" w:type="dxa"/>
              <w:end w:w="110" w:type="dxa"/>
            </w:tcMar>
            <w:vAlign w:val="center"/>
          </w:tcPr>
          <w:p>
            <w:pPr>
              <w:spacing w:before="0" w:after="0" w:line="252" w:lineRule="auto"/>
            </w:pPr>
            <w:r/>
            <w:r>
              <w:rPr>
                <w:rFonts w:ascii="PingFang SC" w:hAnsi="PingFang SC" w:eastAsia="PingFang SC" w:cs="PingFang SC"/>
                <w:b w:val="0"/>
                <w:i w:val="0"/>
                <w:color w:val="1F2937"/>
                <w:sz w:val="17"/>
              </w:rPr>
              <w:t>出口限制、炼厂受损、库存异常或裂解价差冲击</w:t>
            </w:r>
          </w:p>
        </w:tc>
      </w:tr>
    </w:tbl>
    <w:p>
      <w:pPr>
        <w:spacing w:before="0" w:after="20" w:line="283" w:lineRule="auto"/>
      </w:pPr>
    </w:p>
    <w:p>
      <w:pPr>
        <w:pStyle w:val="Heading2"/>
        <w:keepNext/>
        <w:spacing w:before="200" w:after="120" w:line="240" w:lineRule="auto"/>
      </w:pPr>
      <w:r>
        <w:rPr>
          <w:rFonts w:ascii="PingFang SC" w:hAnsi="PingFang SC" w:eastAsia="PingFang SC" w:cs="PingFang SC"/>
          <w:b/>
          <w:i w:val="0"/>
          <w:color w:val="365F91"/>
          <w:sz w:val="25"/>
        </w:rPr>
        <w:t>风险与边界</w:t>
      </w:r>
    </w:p>
    <w:p>
      <w:pPr>
        <w:spacing w:before="0" w:after="140" w:line="283" w:lineRule="auto"/>
      </w:pPr>
      <w:r>
        <w:rPr>
          <w:rFonts w:ascii="PingFang SC" w:hAnsi="PingFang SC" w:eastAsia="PingFang SC" w:cs="PingFang SC"/>
          <w:b w:val="0"/>
          <w:i w:val="0"/>
          <w:color w:val="1F2937"/>
          <w:sz w:val="22"/>
        </w:rPr>
        <w:t>本报告不预测单一资产的确定性收益，也不把宏观判断等同于交易建议。月报使用的是截至2026年9月18日可获得的信息，后续数据修订、政策变化、市场价格和跨资产反馈可能改变当前判断。研究状态中的“支持”“未解决”和“候选”是证据强弱的标记，不是评级或仓位信号。</w:t>
      </w:r>
    </w:p>
    <w:p>
      <w:r>
        <w:br w:type="page"/>
      </w:r>
    </w:p>
    <w:p>
      <w:pPr>
        <w:pStyle w:val="Heading1"/>
        <w:keepNext/>
        <w:spacing w:before="280" w:after="120" w:line="240" w:lineRule="auto"/>
      </w:pPr>
      <w:r>
        <w:rPr>
          <w:rFonts w:ascii="PingFang SC" w:hAnsi="PingFang SC" w:eastAsia="PingFang SC" w:cs="PingFang SC"/>
          <w:b/>
          <w:i w:val="0"/>
          <w:color w:val="17365D"/>
          <w:sz w:val="30"/>
        </w:rPr>
        <w:t>官方来源</w:t>
      </w:r>
    </w:p>
    <w:p>
      <w:pPr>
        <w:spacing w:before="0" w:after="200" w:line="283" w:lineRule="auto"/>
      </w:pPr>
      <w:r>
        <w:rPr>
          <w:rFonts w:ascii="PingFang SC" w:hAnsi="PingFang SC" w:eastAsia="PingFang SC" w:cs="PingFang SC"/>
          <w:b w:val="0"/>
          <w:i w:val="0"/>
          <w:color w:val="5B6573"/>
          <w:sz w:val="20"/>
        </w:rPr>
        <w:t>以下链接用于核对本报告引用的公开宏观数据与政策信息；月报的研究判断仍以已审核的8月复盘为底稿。</w:t>
      </w:r>
    </w:p>
    <w:p>
      <w:pPr>
        <w:spacing w:before="0" w:after="60" w:line="252" w:lineRule="auto"/>
      </w:pPr>
      <w:hyperlink r:id="rId19">
        <w:r>
          <w:rPr>
            <w:color w:val="2B74B8"/>
            <w:u w:val="single"/>
            <w:rFonts w:ascii="PingFang SC" w:hAnsi="PingFang SC" w:eastAsia="PingFang SC"/>
            <w:sz w:val="20"/>
          </w:rPr>
          <w:t>Federal Reserve — Federal Reserve issues FOMC statement, September 16, 2026</w:t>
        </w:r>
      </w:hyperlink>
    </w:p>
    <w:p>
      <w:pPr>
        <w:spacing w:before="0" w:after="60" w:line="252" w:lineRule="auto"/>
      </w:pPr>
      <w:hyperlink r:id="rId20">
        <w:r>
          <w:rPr>
            <w:color w:val="2B74B8"/>
            <w:u w:val="single"/>
            <w:rFonts w:ascii="PingFang SC" w:hAnsi="PingFang SC" w:eastAsia="PingFang SC"/>
            <w:sz w:val="20"/>
          </w:rPr>
          <w:t>U.S. Bureau of Labor Statistics — Employment Situation, August 2026</w:t>
        </w:r>
      </w:hyperlink>
    </w:p>
    <w:p>
      <w:pPr>
        <w:spacing w:before="0" w:after="60" w:line="252" w:lineRule="auto"/>
      </w:pPr>
      <w:hyperlink r:id="rId21">
        <w:r>
          <w:rPr>
            <w:color w:val="2B74B8"/>
            <w:u w:val="single"/>
            <w:rFonts w:ascii="PingFang SC" w:hAnsi="PingFang SC" w:eastAsia="PingFang SC"/>
            <w:sz w:val="20"/>
          </w:rPr>
          <w:t>U.S. Bureau of Labor Statistics — Productivity and Costs, Second Quarter 2026 revised</w:t>
        </w:r>
      </w:hyperlink>
    </w:p>
    <w:p>
      <w:pPr>
        <w:spacing w:before="0" w:after="60" w:line="252" w:lineRule="auto"/>
      </w:pPr>
      <w:hyperlink r:id="rId22">
        <w:r>
          <w:rPr>
            <w:color w:val="2B74B8"/>
            <w:u w:val="single"/>
            <w:rFonts w:ascii="PingFang SC" w:hAnsi="PingFang SC" w:eastAsia="PingFang SC"/>
            <w:sz w:val="20"/>
          </w:rPr>
          <w:t>U.S. Treasury — Treasury to increase buyback size in long-end sectors</w:t>
        </w:r>
      </w:hyperlink>
    </w:p>
    <w:p>
      <w:pPr>
        <w:spacing w:before="0" w:after="60" w:line="252" w:lineRule="auto"/>
      </w:pPr>
      <w:hyperlink r:id="rId23">
        <w:r>
          <w:rPr>
            <w:color w:val="2B74B8"/>
            <w:u w:val="single"/>
            <w:rFonts w:ascii="PingFang SC" w:hAnsi="PingFang SC" w:eastAsia="PingFang SC"/>
            <w:sz w:val="20"/>
          </w:rPr>
          <w:t>National Bureau of Statistics of China — August industrial and economic data</w:t>
        </w:r>
      </w:hyperlink>
    </w:p>
    <w:p>
      <w:pPr>
        <w:spacing w:before="0" w:after="60" w:line="252" w:lineRule="auto"/>
      </w:pPr>
      <w:hyperlink r:id="rId24">
        <w:r>
          <w:rPr>
            <w:color w:val="2B74B8"/>
            <w:u w:val="single"/>
            <w:rFonts w:ascii="PingFang SC" w:hAnsi="PingFang SC" w:eastAsia="PingFang SC"/>
            <w:sz w:val="20"/>
          </w:rPr>
          <w:t>National Bureau of Statistics of China — August retail sales data</w:t>
        </w:r>
      </w:hyperlink>
    </w:p>
    <w:p>
      <w:pPr>
        <w:spacing w:before="0" w:after="60" w:line="252" w:lineRule="auto"/>
      </w:pPr>
      <w:hyperlink r:id="rId25">
        <w:r>
          <w:rPr>
            <w:color w:val="2B74B8"/>
            <w:u w:val="single"/>
            <w:rFonts w:ascii="PingFang SC" w:hAnsi="PingFang SC" w:eastAsia="PingFang SC"/>
            <w:sz w:val="20"/>
          </w:rPr>
          <w:t>National Bureau of Statistics of China — January to August fixed-asset investment</w:t>
        </w:r>
      </w:hyperlink>
    </w:p>
    <w:p>
      <w:pPr>
        <w:spacing w:before="0" w:after="60" w:line="252" w:lineRule="auto"/>
      </w:pPr>
      <w:hyperlink r:id="rId26">
        <w:r>
          <w:rPr>
            <w:color w:val="2B74B8"/>
            <w:u w:val="single"/>
            <w:rFonts w:ascii="PingFang SC" w:hAnsi="PingFang SC" w:eastAsia="PingFang SC"/>
            <w:sz w:val="20"/>
          </w:rPr>
          <w:t>National Bureau of Statistics of China — January to August real-estate development</w:t>
        </w:r>
      </w:hyperlink>
    </w:p>
    <w:p>
      <w:pPr>
        <w:spacing w:before="0" w:after="60" w:line="252" w:lineRule="auto"/>
      </w:pPr>
      <w:hyperlink r:id="rId27">
        <w:r>
          <w:rPr>
            <w:color w:val="2B74B8"/>
            <w:u w:val="single"/>
            <w:rFonts w:ascii="PingFang SC" w:hAnsi="PingFang SC" w:eastAsia="PingFang SC"/>
            <w:sz w:val="20"/>
          </w:rPr>
          <w:t>National Bureau of Statistics of China — August CPI and PPI interpretation</w:t>
        </w:r>
      </w:hyperlink>
    </w:p>
    <w:p>
      <w:pPr>
        <w:spacing w:before="280" w:after="40" w:line="283" w:lineRule="auto"/>
      </w:pPr>
      <w:r>
        <w:rPr>
          <w:rFonts w:ascii="PingFang SC" w:hAnsi="PingFang SC" w:eastAsia="PingFang SC" w:cs="PingFang SC"/>
          <w:b w:val="0"/>
          <w:i w:val="0"/>
          <w:color w:val="5B6573"/>
          <w:sz w:val="18"/>
        </w:rPr>
        <w:t>文档版本：v1.0  |  报告期间：2026-08  |  现实验证截止：2026-09-18</w:t>
      </w:r>
    </w:p>
    <w:p>
      <w:pPr>
        <w:spacing w:before="0" w:after="0" w:line="283" w:lineRule="auto"/>
      </w:pPr>
      <w:r>
        <w:rPr>
          <w:rFonts w:ascii="PingFang SC" w:hAnsi="PingFang SC" w:eastAsia="PingFang SC" w:cs="PingFang SC"/>
          <w:b w:val="0"/>
          <w:i/>
          <w:color w:val="5B6573"/>
          <w:sz w:val="18"/>
        </w:rPr>
        <w:t>仅供研究交流，不构成投资建议。</w:t>
      </w:r>
    </w:p>
    <w:sectPr w:rsidR="00FC693F" w:rsidRPr="0006063C" w:rsidSect="00034616">
      <w:headerReference w:type="default" r:id="rId9"/>
      <w:footerReference w:type="default" r:id="rId10"/>
      <w:pgSz w:w="12240" w:h="15840"/>
      <w:pgMar w:top="1181" w:right="1238" w:bottom="1123" w:left="123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ingFang SC" w:hAnsi="PingFang SC" w:eastAsia="PingFang SC"/>
        <w:color w:val="5F6B7A"/>
        <w:sz w:val="16"/>
      </w:rPr>
      <w:t xml:space="preserve">仅供研究交流，不构成投资建议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PingFang SC" w:hAnsi="PingFang SC" w:eastAsia="PingFang SC"/>
        <w:b w:val="0"/>
        <w:color w:val="5F6B7A"/>
        <w:sz w:val="17"/>
      </w:rPr>
      <w:t>宏观与投资策略月报  |  投资者版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tats.gov.cn/sj/zxfb/202607/t20260715_1964123.html?utm_source=chatgpt.com" TargetMode="External"/><Relationship Id="rId12" Type="http://schemas.openxmlformats.org/officeDocument/2006/relationships/hyperlink" Target="https://www.stats.gov.cn/xxgk/sjfb/zxfb2020/202607/t20260715_1964124.html?utm_source=chatgpt.com" TargetMode="External"/><Relationship Id="rId13" Type="http://schemas.openxmlformats.org/officeDocument/2006/relationships/hyperlink" Target="https://www.federalreserve.gov/newsevents/pressreleases/monetary20260729a.htm?utm_source=chatgpt.com" TargetMode="External"/><Relationship Id="rId14" Type="http://schemas.openxmlformats.org/officeDocument/2006/relationships/hyperlink" Target="https://www.bls.gov/news.release/archives/empsit_08072026.htm?utm_source=chatgpt.com" TargetMode="External"/><Relationship Id="rId15" Type="http://schemas.openxmlformats.org/officeDocument/2006/relationships/hyperlink" Target="https://www.bls.gov/news.release/pdf/cpi.pdf?search=Colorado-Springs&amp;utm_source=chatgpt.com" TargetMode="External"/><Relationship Id="rId16" Type="http://schemas.openxmlformats.org/officeDocument/2006/relationships/hyperlink" Target="https://www.bea.gov/news/2026/gdp-advance-estimate-2nd-quarter-2026?utm_source=chatgpt.com" TargetMode="External"/><Relationship Id="rId17" Type="http://schemas.openxmlformats.org/officeDocument/2006/relationships/hyperlink" Target="https://investor.tsmc.com/english/quarterly-results/2026/q2?utm_source=chatgpt.com" TargetMode="External"/><Relationship Id="rId18" Type="http://schemas.openxmlformats.org/officeDocument/2006/relationships/hyperlink" Target="https://news.microsoft.com/source/2026/07/29/microsoft-cloud-and-ai-strength-fuels-fourth-quarter-results-4/?utm_source=chatgpt.com" TargetMode="External"/><Relationship Id="rId19" Type="http://schemas.openxmlformats.org/officeDocument/2006/relationships/hyperlink" Target="https://www.federalreserve.gov/newsevents/pressreleases/monetary20260916a.htm" TargetMode="External"/><Relationship Id="rId20" Type="http://schemas.openxmlformats.org/officeDocument/2006/relationships/hyperlink" Target="https://www.bls.gov/news.release/empsit.htm" TargetMode="External"/><Relationship Id="rId21" Type="http://schemas.openxmlformats.org/officeDocument/2006/relationships/hyperlink" Target="https://www.bls.gov/news.release/prod2.htm" TargetMode="External"/><Relationship Id="rId22" Type="http://schemas.openxmlformats.org/officeDocument/2006/relationships/hyperlink" Target="https://home.treasury.gov/news/press-releases/sb0607" TargetMode="External"/><Relationship Id="rId23" Type="http://schemas.openxmlformats.org/officeDocument/2006/relationships/hyperlink" Target="https://www.stats.gov.cn/sj/zxfb/202609/t20260915_1965307.html" TargetMode="External"/><Relationship Id="rId24" Type="http://schemas.openxmlformats.org/officeDocument/2006/relationships/hyperlink" Target="https://www.stats.gov.cn/sj/zxfb/202609/t20260915_1965311.html" TargetMode="External"/><Relationship Id="rId25" Type="http://schemas.openxmlformats.org/officeDocument/2006/relationships/hyperlink" Target="https://www.stats.gov.cn/zwfwck/sjfb/202609/t20260915_1965309.html" TargetMode="External"/><Relationship Id="rId26" Type="http://schemas.openxmlformats.org/officeDocument/2006/relationships/hyperlink" Target="https://www.stats.gov.cn/sj/zxfb/202609/t20260915_1965310.html" TargetMode="External"/><Relationship Id="rId27" Type="http://schemas.openxmlformats.org/officeDocument/2006/relationships/hyperlink" Target="https://www.stats.gov.cn/xxgk/jd/sjjd2020/202609/t20260909_196526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2026年8月宏观与投资策略月报 投资者版</dc:title>
  <dc:subject>宏观状态迁移与资产定价观察</dc:subject>
  <dc:creator>投资研究</dc:creator>
  <cp:keywords/>
  <dc:description>Based on the reviewed August 2026 monthly review; investor-facing editorial version.</dc:description>
  <cp:lastModifiedBy/>
  <cp:revision>1</cp:revision>
  <dcterms:created xsi:type="dcterms:W3CDTF">2013-12-23T23:15:00Z</dcterms:created>
  <dcterms:modified xsi:type="dcterms:W3CDTF">2013-12-23T23:15:00Z</dcterms:modified>
  <cp:category/>
</cp:coreProperties>
</file>