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760" w:after="360" w:line="264" w:lineRule="auto"/>
        <w:jc w:val="center"/>
      </w:pPr>
      <w:r>
        <w:rPr>
          <w:rFonts w:ascii="PingFang SC" w:hAnsi="PingFang SC" w:eastAsia="PingFang SC"/>
          <w:b/>
          <w:color w:val="B28A3B"/>
          <w:sz w:val="20"/>
        </w:rPr>
        <w:t>MONTHLY STRATEGY REPORT</w:t>
      </w:r>
    </w:p>
    <w:p>
      <w:pPr>
        <w:spacing w:before="0" w:after="200" w:line="252" w:lineRule="auto"/>
        <w:jc w:val="center"/>
      </w:pPr>
      <w:r>
        <w:rPr>
          <w:rFonts w:ascii="PingFang SC" w:hAnsi="PingFang SC" w:eastAsia="PingFang SC"/>
          <w:b/>
          <w:color w:val="0B2545"/>
          <w:sz w:val="56"/>
        </w:rPr>
        <w:t>结构性增长下的</w:t>
        <w:br/>
        <w:t>定价纪律</w:t>
      </w:r>
    </w:p>
    <w:p>
      <w:pPr>
        <w:spacing w:before="0" w:after="560" w:line="264" w:lineRule="auto"/>
        <w:jc w:val="center"/>
      </w:pPr>
      <w:r>
        <w:rPr>
          <w:rFonts w:ascii="PingFang SC" w:hAnsi="PingFang SC" w:eastAsia="PingFang SC"/>
          <w:b w:val="0"/>
          <w:color w:val="1F4D78"/>
          <w:sz w:val="28"/>
        </w:rPr>
        <w:t>2026 年 7 月宏观与投资策略月报</w:t>
      </w:r>
    </w:p>
    <w:p>
      <w:pPr>
        <w:spacing w:before="0" w:after="600" w:line="264" w:lineRule="auto"/>
        <w:jc w:val="center"/>
      </w:pPr>
      <w:r>
        <w:rPr>
          <w:rFonts w:ascii="PingFang SC" w:hAnsi="PingFang SC" w:eastAsia="PingFang SC"/>
          <w:b w:val="0"/>
          <w:color w:val="5F6B7A"/>
          <w:sz w:val="21"/>
        </w:rPr>
        <w:t>中国：总需求偏弱与产业增长并存  ·  美国：增长降温未确认衰退  ·  AI：强需求下的资本效率审查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2F5F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60" w:line="252" w:lineRule="auto"/>
            </w:pPr>
            <w:r/>
            <w:r>
              <w:rPr>
                <w:rFonts w:ascii="PingFang SC" w:hAnsi="PingFang SC" w:eastAsia="PingFang SC"/>
                <w:b/>
                <w:color w:val="5F6B7A"/>
                <w:sz w:val="17"/>
              </w:rPr>
              <w:t>报告期间</w:t>
            </w:r>
          </w:p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1F2937"/>
                <w:sz w:val="20"/>
              </w:rPr>
              <w:t>2026 年 7 月</w:t>
            </w:r>
          </w:p>
        </w:tc>
        <w:tc>
          <w:tcPr>
            <w:tcW w:type="dxa" w:w="3120"/>
            <w:shd w:fill="F2F5F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60" w:line="252" w:lineRule="auto"/>
            </w:pPr>
            <w:r/>
            <w:r>
              <w:rPr>
                <w:rFonts w:ascii="PingFang SC" w:hAnsi="PingFang SC" w:eastAsia="PingFang SC"/>
                <w:b/>
                <w:color w:val="5F6B7A"/>
                <w:sz w:val="17"/>
              </w:rPr>
              <w:t>数据截止</w:t>
            </w:r>
          </w:p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1F2937"/>
                <w:sz w:val="20"/>
              </w:rPr>
              <w:t>2026 年 8 月 20 日</w:t>
            </w:r>
          </w:p>
        </w:tc>
        <w:tc>
          <w:tcPr>
            <w:tcW w:type="dxa" w:w="3120"/>
            <w:shd w:fill="F2F5F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60" w:line="252" w:lineRule="auto"/>
            </w:pPr>
            <w:r/>
            <w:r>
              <w:rPr>
                <w:rFonts w:ascii="PingFang SC" w:hAnsi="PingFang SC" w:eastAsia="PingFang SC"/>
                <w:b/>
                <w:color w:val="5F6B7A"/>
                <w:sz w:val="17"/>
              </w:rPr>
              <w:t>报告属性</w:t>
            </w:r>
          </w:p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/>
                <w:color w:val="1F2937"/>
                <w:sz w:val="20"/>
              </w:rPr>
              <w:t>面向投资者的策略观察</w:t>
            </w:r>
          </w:p>
        </w:tc>
      </w:tr>
    </w:tbl>
    <w:p>
      <w:pPr>
        <w:spacing w:before="0" w:after="320" w:line="264" w:lineRule="auto"/>
      </w:pPr>
    </w:p>
    <w:p>
      <w:pPr>
        <w:spacing w:before="0" w:after="200" w:line="276" w:lineRule="auto"/>
        <w:jc w:val="center"/>
      </w:pPr>
      <w:r>
        <w:rPr>
          <w:rFonts w:ascii="PingFang SC" w:hAnsi="PingFang SC" w:eastAsia="PingFang SC"/>
          <w:b w:val="0"/>
          <w:color w:val="5F6B7A"/>
          <w:sz w:val="19"/>
        </w:rPr>
        <w:t>研究结论来自已完成的 2026 年 7 月月度复盘；为便于投资者阅读，本文将内部审计材料重组为宏观情景、资产含义与验证框架。</w:t>
      </w:r>
    </w:p>
    <w:p>
      <w:pPr>
        <w:spacing w:before="0" w:after="0" w:line="264" w:lineRule="auto"/>
        <w:jc w:val="center"/>
      </w:pPr>
      <w:r>
        <w:rPr>
          <w:rFonts w:ascii="PingFang SC" w:hAnsi="PingFang SC" w:eastAsia="PingFang SC"/>
          <w:b w:val="0"/>
          <w:color w:val="9B1C1C"/>
          <w:sz w:val="17"/>
        </w:rPr>
        <w:t>重要提示：本文仅作研究交流与信息整理，不构成任何证券、基金、期货或其他金融产品的投资建议、承诺或招揽。</w:t>
      </w:r>
    </w:p>
    <w:p>
      <w:r>
        <w:br w:type="page"/>
      </w:r>
    </w:p>
    <w:p>
      <w:pPr>
        <w:keepNext/>
        <w:spacing w:before="320" w:after="160"/>
      </w:pPr>
      <w:r>
        <w:rPr>
          <w:rFonts w:ascii="PingFang SC" w:hAnsi="PingFang SC" w:eastAsia="PingFang SC"/>
          <w:b/>
          <w:color w:val="2E74B5"/>
          <w:sz w:val="32"/>
        </w:rPr>
        <w:t>执行摘要</w:t>
      </w:r>
    </w:p>
    <w:p>
      <w:pPr>
        <w:spacing w:before="0" w:after="200" w:line="283" w:lineRule="auto"/>
      </w:pPr>
      <w:r>
        <w:rPr>
          <w:rFonts w:ascii="PingFang SC" w:hAnsi="PingFang SC" w:eastAsia="PingFang SC"/>
          <w:b w:val="0"/>
          <w:color w:val="1F2937"/>
          <w:sz w:val="22"/>
        </w:rPr>
        <w:t>7 月的核心不是单一的风险偏好切换，而是第一阶段增长与第二阶段扩散之间的脱节。产业、政策或需求端的局部强势，并不自动意味着总量需求、盈利质量或资产回报同步改善。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60" w:line="252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22"/>
              </w:rPr>
              <w:t>中国宏观</w:t>
            </w:r>
          </w:p>
          <w:p>
            <w:pPr>
              <w:spacing w:after="60" w:line="252" w:lineRule="auto"/>
            </w:pPr>
            <w:r>
              <w:rPr>
                <w:rFonts w:ascii="PingFang SC" w:hAnsi="PingFang SC" w:eastAsia="PingFang SC"/>
                <w:b w:val="0"/>
                <w:color w:val="1F2937"/>
                <w:sz w:val="19"/>
              </w:rPr>
              <w:t>结构性产业增长仍在，但私人需求扩散不足。高技术、出口与数字基础设施相对更强；地产、民间投资与消费仍是总量约束。</w:t>
            </w:r>
          </w:p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5F6B7A"/>
                <w:sz w:val="17"/>
              </w:rPr>
              <w:t>关注：民投、居民中长贷、社零、地产销售</w:t>
            </w:r>
          </w:p>
        </w:tc>
        <w:tc>
          <w:tcPr>
            <w:tcW w:type="dxa" w:w="3120"/>
            <w:shd w:fill="E8EEF5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60" w:line="252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22"/>
              </w:rPr>
              <w:t>美国宏观</w:t>
            </w:r>
          </w:p>
          <w:p>
            <w:pPr>
              <w:spacing w:after="60" w:line="252" w:lineRule="auto"/>
            </w:pPr>
            <w:r>
              <w:rPr>
                <w:rFonts w:ascii="PingFang SC" w:hAnsi="PingFang SC" w:eastAsia="PingFang SC"/>
                <w:b w:val="0"/>
                <w:color w:val="1F2937"/>
                <w:sz w:val="19"/>
              </w:rPr>
              <w:t>通胀缓和给 Fed 带来等待空间，但增长与就业的边际走弱提高了宏观路径的不确定性。</w:t>
            </w:r>
          </w:p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5F6B7A"/>
                <w:sz w:val="17"/>
              </w:rPr>
              <w:t>关注：就业修订、实际消费、招聘、信用条件</w:t>
            </w:r>
          </w:p>
        </w:tc>
        <w:tc>
          <w:tcPr>
            <w:tcW w:type="dxa" w:w="3120"/>
            <w:shd w:fill="E8EEF5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60" w:line="252" w:lineRule="auto"/>
            </w:pPr>
            <w:r/>
            <w:r>
              <w:rPr>
                <w:rFonts w:ascii="PingFang SC" w:hAnsi="PingFang SC" w:eastAsia="PingFang SC"/>
                <w:b/>
                <w:color w:val="1F4D78"/>
                <w:sz w:val="22"/>
              </w:rPr>
              <w:t>AI 定价</w:t>
            </w:r>
          </w:p>
          <w:p>
            <w:pPr>
              <w:spacing w:after="60" w:line="252" w:lineRule="auto"/>
            </w:pPr>
            <w:r>
              <w:rPr>
                <w:rFonts w:ascii="PingFang SC" w:hAnsi="PingFang SC" w:eastAsia="PingFang SC"/>
                <w:b w:val="0"/>
                <w:color w:val="1F2937"/>
                <w:sz w:val="19"/>
              </w:rPr>
              <w:t>需求验证仍强，定价重心已从“需求是否真实”移向自由现金流、ROIC 与资本成本。</w:t>
            </w:r>
          </w:p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5F6B7A"/>
                <w:sz w:val="17"/>
              </w:rPr>
              <w:t>关注：AI 收入/Capex、FCF、利润率、财报后反应</w:t>
            </w:r>
          </w:p>
        </w:tc>
      </w:tr>
    </w:tbl>
    <w:p>
      <w:pPr>
        <w:keepNext/>
        <w:spacing w:before="240" w:after="100"/>
      </w:pPr>
      <w:r>
        <w:rPr>
          <w:rFonts w:ascii="PingFang SC" w:hAnsi="PingFang SC" w:eastAsia="PingFang SC"/>
          <w:b/>
          <w:color w:val="1F4D78"/>
          <w:sz w:val="26"/>
        </w:rPr>
        <w:t>对资产的含义</w:t>
      </w:r>
    </w:p>
    <w:p>
      <w:pPr>
        <w:pStyle w:val="ListBullet"/>
        <w:spacing w:after="80" w:line="278" w:lineRule="auto"/>
        <w:ind w:left="360" w:hanging="259"/>
      </w:pPr>
      <w:r>
        <w:rPr>
          <w:rFonts w:ascii="PingFang SC" w:hAnsi="PingFang SC" w:eastAsia="PingFang SC"/>
          <w:color w:val="1F2937"/>
          <w:sz w:val="21"/>
        </w:rPr>
        <w:t>A 股 AI / 半导体：产业基本面积极，但海外 Capex 不能直接替代国内公司订单、毛利率和现金流验证；基本面置信度高于短期价格方向置信度。</w:t>
      </w:r>
    </w:p>
    <w:p>
      <w:pPr>
        <w:pStyle w:val="ListBullet"/>
        <w:spacing w:after="80" w:line="278" w:lineRule="auto"/>
        <w:ind w:left="360" w:hanging="259"/>
      </w:pPr>
      <w:r>
        <w:rPr>
          <w:rFonts w:ascii="PingFang SC" w:hAnsi="PingFang SC" w:eastAsia="PingFang SC"/>
          <w:color w:val="1F2937"/>
          <w:sz w:val="21"/>
        </w:rPr>
        <w:t>高估值美国 AI 资产：收入增长仍可能超预期，但资本密集度、折现率与估值已成为决定预期回报的核心约束。</w:t>
      </w:r>
    </w:p>
    <w:p>
      <w:pPr>
        <w:pStyle w:val="ListBullet"/>
        <w:spacing w:after="80" w:line="278" w:lineRule="auto"/>
        <w:ind w:left="360" w:hanging="259"/>
      </w:pPr>
      <w:r>
        <w:rPr>
          <w:rFonts w:ascii="PingFang SC" w:hAnsi="PingFang SC" w:eastAsia="PingFang SC"/>
          <w:color w:val="1F2937"/>
          <w:sz w:val="21"/>
        </w:rPr>
        <w:t>黄金：中期结构性支撑仍在，但短期主导因子应优先观察实际利率与美元，地缘风险并不必然对应即时上涨。</w:t>
      </w:r>
    </w:p>
    <w:p>
      <w:pPr>
        <w:pStyle w:val="ListBullet"/>
        <w:spacing w:after="80" w:line="278" w:lineRule="auto"/>
        <w:ind w:left="360" w:hanging="259"/>
      </w:pPr>
      <w:r>
        <w:rPr>
          <w:rFonts w:ascii="PingFang SC" w:hAnsi="PingFang SC" w:eastAsia="PingFang SC"/>
          <w:color w:val="1F2937"/>
          <w:sz w:val="21"/>
        </w:rPr>
        <w:t>铜：AI—电力—电网的长期需求链成立，但中国需求、美元、库存与矿山供给决定短中期平衡。</w:t>
      </w:r>
    </w:p>
    <w:p>
      <w:pPr>
        <w:keepNext/>
        <w:spacing w:before="240" w:after="100"/>
      </w:pPr>
      <w:r>
        <w:rPr>
          <w:rFonts w:ascii="PingFang SC" w:hAnsi="PingFang SC" w:eastAsia="PingFang SC"/>
          <w:b/>
          <w:color w:val="1F4D78"/>
          <w:sz w:val="26"/>
        </w:rPr>
        <w:t>本月策略框架</w:t>
      </w:r>
    </w:p>
    <w:p>
      <w:pPr>
        <w:spacing w:before="0" w:after="80" w:line="278" w:lineRule="auto"/>
      </w:pPr>
      <w:r>
        <w:rPr>
          <w:rFonts w:ascii="PingFang SC" w:hAnsi="PingFang SC" w:eastAsia="PingFang SC"/>
          <w:b/>
          <w:color w:val="0B2545"/>
          <w:sz w:val="21"/>
        </w:rPr>
        <w:t>从“产业景气”走向“资产回报”的过程中，需逐层验证：需求 → Capex → 收入 → FCF → ROIC → 估值。任何一环断裂，都不应以第一环的强势替代最终资产定价的判断。</w:t>
      </w:r>
    </w:p>
    <w:p>
      <w:r>
        <w:br w:type="page"/>
      </w:r>
    </w:p>
    <w:p>
      <w:pPr>
        <w:keepNext/>
        <w:spacing w:before="320" w:after="160"/>
      </w:pPr>
      <w:r>
        <w:rPr>
          <w:rFonts w:ascii="PingFang SC" w:hAnsi="PingFang SC" w:eastAsia="PingFang SC"/>
          <w:b/>
          <w:color w:val="2E74B5"/>
          <w:sz w:val="32"/>
        </w:rPr>
        <w:t>一、宏观情景：三条主线</w:t>
      </w:r>
    </w:p>
    <w:p>
      <w:pPr>
        <w:keepNext/>
        <w:spacing w:before="240" w:after="100"/>
      </w:pPr>
      <w:r>
        <w:rPr>
          <w:rFonts w:ascii="PingFang SC" w:hAnsi="PingFang SC" w:eastAsia="PingFang SC"/>
          <w:b/>
          <w:color w:val="1F4D78"/>
          <w:sz w:val="26"/>
        </w:rPr>
        <w:t>1. 中国：产业增长尚未完成对私人需求的扩散</w:t>
      </w:r>
    </w:p>
    <w:p>
      <w:pPr>
        <w:spacing w:before="0" w:after="120" w:line="283" w:lineRule="auto"/>
      </w:pPr>
      <w:r>
        <w:rPr>
          <w:rFonts w:ascii="PingFang SC" w:hAnsi="PingFang SC" w:eastAsia="PingFang SC"/>
          <w:b w:val="0"/>
          <w:color w:val="1F2937"/>
          <w:sz w:val="22"/>
        </w:rPr>
        <w:t>当前更合适的描述是“总需求不足加深 + 结构性产业增长”。政策与外需支撑高技术制造、数字基础设施与出口相关活动，但尚未充分传导至民间投资、房地产、居民收入与消费。</w:t>
      </w:r>
    </w:p>
    <w:p>
      <w:pPr>
        <w:pStyle w:val="ListBullet"/>
        <w:spacing w:after="80" w:line="278" w:lineRule="auto"/>
        <w:ind w:left="360" w:hanging="259"/>
      </w:pPr>
      <w:r>
        <w:rPr>
          <w:rFonts w:ascii="PingFang SC" w:hAnsi="PingFang SC" w:eastAsia="PingFang SC"/>
          <w:color w:val="1F2937"/>
          <w:sz w:val="21"/>
        </w:rPr>
        <w:t>情景上行触发：居民中长期贷款、民间投资、房地产销售和社零中至少两个领域持续改善，且跨越单纯补贴或基数效应。</w:t>
      </w:r>
    </w:p>
    <w:p>
      <w:pPr>
        <w:pStyle w:val="ListBullet"/>
        <w:spacing w:after="80" w:line="278" w:lineRule="auto"/>
        <w:ind w:left="360" w:hanging="259"/>
      </w:pPr>
      <w:r>
        <w:rPr>
          <w:rFonts w:ascii="PingFang SC" w:hAnsi="PingFang SC" w:eastAsia="PingFang SC"/>
          <w:color w:val="1F2937"/>
          <w:sz w:val="21"/>
        </w:rPr>
        <w:t>情景下行触发：产业增长也明显失速，结构性支撑不足以对冲传统部门收缩。</w:t>
      </w:r>
    </w:p>
    <w:p>
      <w:pPr>
        <w:keepNext/>
        <w:spacing w:before="240" w:after="100"/>
      </w:pPr>
      <w:r>
        <w:rPr>
          <w:rFonts w:ascii="PingFang SC" w:hAnsi="PingFang SC" w:eastAsia="PingFang SC"/>
          <w:b/>
          <w:color w:val="1F4D78"/>
          <w:sz w:val="26"/>
        </w:rPr>
        <w:t>2. 美国：增长降温，但衰退尚未得到确认</w:t>
      </w:r>
    </w:p>
    <w:p>
      <w:pPr>
        <w:spacing w:before="0" w:after="120" w:line="283" w:lineRule="auto"/>
      </w:pPr>
      <w:r>
        <w:rPr>
          <w:rFonts w:ascii="PingFang SC" w:hAnsi="PingFang SC" w:eastAsia="PingFang SC"/>
          <w:b w:val="0"/>
          <w:color w:val="1F2937"/>
          <w:sz w:val="22"/>
        </w:rPr>
        <w:t>7 月的通胀缓和降低了立即进一步收紧的必要性，但并未保证长端融资条件同步改善。随后就业数据及其修订显示，增长端恶化可能快于当时的中心判断。当前宜将其视为“增长降温、尚未确认衰退”的状态，而非单一的宽松交易。</w:t>
      </w:r>
    </w:p>
    <w:p>
      <w:pPr>
        <w:pStyle w:val="ListBullet"/>
        <w:spacing w:after="80" w:line="278" w:lineRule="auto"/>
        <w:ind w:left="360" w:hanging="259"/>
      </w:pPr>
      <w:r>
        <w:rPr>
          <w:rFonts w:ascii="PingFang SC" w:hAnsi="PingFang SC" w:eastAsia="PingFang SC"/>
          <w:color w:val="1F2937"/>
          <w:sz w:val="21"/>
        </w:rPr>
        <w:t>核心分辨变量：就业修订、工时、实际消费、企业招聘、利润与信用条件是否同步走弱。</w:t>
      </w:r>
    </w:p>
    <w:p>
      <w:pPr>
        <w:pStyle w:val="ListBullet"/>
        <w:spacing w:after="80" w:line="278" w:lineRule="auto"/>
        <w:ind w:left="360" w:hanging="259"/>
      </w:pPr>
      <w:r>
        <w:rPr>
          <w:rFonts w:ascii="PingFang SC" w:hAnsi="PingFang SC" w:eastAsia="PingFang SC"/>
          <w:color w:val="1F2937"/>
          <w:sz w:val="21"/>
        </w:rPr>
        <w:t>替代情景：低就业增长可能与生产率改善并存；若利润与消费稳定，传统“低非农=衰退”的解释需要降权。</w:t>
      </w:r>
    </w:p>
    <w:p>
      <w:pPr>
        <w:keepNext/>
        <w:spacing w:before="240" w:after="100"/>
      </w:pPr>
      <w:r>
        <w:rPr>
          <w:rFonts w:ascii="PingFang SC" w:hAnsi="PingFang SC" w:eastAsia="PingFang SC"/>
          <w:b/>
          <w:color w:val="1F4D78"/>
          <w:sz w:val="26"/>
        </w:rPr>
        <w:t>3. AI：需求强度未弱，资本效率的重要性上升</w:t>
      </w:r>
    </w:p>
    <w:p>
      <w:pPr>
        <w:spacing w:before="0" w:after="120" w:line="283" w:lineRule="auto"/>
      </w:pPr>
      <w:r>
        <w:rPr>
          <w:rFonts w:ascii="PingFang SC" w:hAnsi="PingFang SC" w:eastAsia="PingFang SC"/>
          <w:b w:val="0"/>
          <w:color w:val="1F2937"/>
          <w:sz w:val="22"/>
        </w:rPr>
        <w:t>TSMC、ASML 与 Microsoft 等证据继续验证先进制程、设备、云与算力需求。但强业绩与弱股价可以并存：市场正在评估资本开支回报、折旧、融资、电力与现金流成本。产业景气不再自动等同于估值扩张。</w:t>
      </w:r>
    </w:p>
    <w:p>
      <w:pPr>
        <w:pStyle w:val="ListBullet"/>
        <w:spacing w:after="80" w:line="278" w:lineRule="auto"/>
        <w:ind w:left="360" w:hanging="259"/>
      </w:pPr>
      <w:r>
        <w:rPr>
          <w:rFonts w:ascii="PingFang SC" w:hAnsi="PingFang SC" w:eastAsia="PingFang SC"/>
          <w:color w:val="1F2937"/>
          <w:sz w:val="21"/>
        </w:rPr>
        <w:t>上行情景：AI 收入、自由现金流与 ROIC 连续快于资本投入改善。</w:t>
      </w:r>
    </w:p>
    <w:p>
      <w:pPr>
        <w:pStyle w:val="ListBullet"/>
        <w:spacing w:after="80" w:line="278" w:lineRule="auto"/>
        <w:ind w:left="360" w:hanging="259"/>
      </w:pPr>
      <w:r>
        <w:rPr>
          <w:rFonts w:ascii="PingFang SC" w:hAnsi="PingFang SC" w:eastAsia="PingFang SC"/>
          <w:color w:val="1F2937"/>
          <w:sz w:val="21"/>
        </w:rPr>
        <w:t>风险情景：Capex 持续扩张，而现金流、利润率、融资成本和股价反应同步恶化。</w:t>
      </w:r>
    </w:p>
    <w:p>
      <w:r>
        <w:br w:type="page"/>
      </w:r>
    </w:p>
    <w:p>
      <w:pPr>
        <w:keepNext/>
        <w:spacing w:before="320" w:after="160"/>
      </w:pPr>
      <w:r>
        <w:rPr>
          <w:rFonts w:ascii="PingFang SC" w:hAnsi="PingFang SC" w:eastAsia="PingFang SC"/>
          <w:b/>
          <w:color w:val="2E74B5"/>
          <w:sz w:val="32"/>
        </w:rPr>
        <w:t>二、资产定价：从主题判断转向传导验证</w:t>
      </w:r>
    </w:p>
    <w:p>
      <w:pPr>
        <w:spacing w:before="0" w:after="180" w:line="283" w:lineRule="auto"/>
      </w:pPr>
      <w:r>
        <w:rPr>
          <w:rFonts w:ascii="PingFang SC" w:hAnsi="PingFang SC" w:eastAsia="PingFang SC"/>
          <w:b w:val="0"/>
          <w:color w:val="1F2937"/>
          <w:sz w:val="22"/>
        </w:rPr>
        <w:t>本月最重要的定价经验是：产业周期畅通，不代表资产定价传导畅通。以下框架用于区分“产业逻辑成立”与“可投资回报成立”。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80"/>
        <w:gridCol w:w="2450"/>
        <w:gridCol w:w="2890"/>
        <w:gridCol w:w="2240"/>
      </w:tblGrid>
      <w:tr>
        <w:tc>
          <w:tcPr>
            <w:tcW w:type="dxa" w:w="1780"/>
            <w:shd w:fill="1F4D7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资产/方向</w:t>
            </w:r>
          </w:p>
        </w:tc>
        <w:tc>
          <w:tcPr>
            <w:tcW w:type="dxa" w:w="2450"/>
            <w:shd w:fill="1F4D7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当前判断</w:t>
            </w:r>
          </w:p>
        </w:tc>
        <w:tc>
          <w:tcPr>
            <w:tcW w:type="dxa" w:w="2890"/>
            <w:shd w:fill="1F4D7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关键验证</w:t>
            </w:r>
          </w:p>
        </w:tc>
        <w:tc>
          <w:tcPr>
            <w:tcW w:type="dxa" w:w="2240"/>
            <w:shd w:fill="1F4D7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主要风险</w:t>
            </w:r>
          </w:p>
        </w:tc>
      </w:tr>
      <w:tr>
        <w:tc>
          <w:tcPr>
            <w:tcW w:type="dxa" w:w="1780"/>
            <w:shd w:fill="FFFFFF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/>
                <w:color w:val="1F2937"/>
                <w:sz w:val="18"/>
              </w:rPr>
              <w:t>A 股 AI / 半导体</w:t>
            </w:r>
          </w:p>
        </w:tc>
        <w:tc>
          <w:tcPr>
            <w:tcW w:type="dxa" w:w="2450"/>
            <w:shd w:fill="FFFFFF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产业基本面积极；价格方向保持选择性。</w:t>
            </w:r>
          </w:p>
        </w:tc>
        <w:tc>
          <w:tcPr>
            <w:tcW w:type="dxa" w:w="2890"/>
            <w:shd w:fill="FFFFFF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国内订单、中报利润、毛利率、现金流、合同负债。</w:t>
            </w:r>
          </w:p>
        </w:tc>
        <w:tc>
          <w:tcPr>
            <w:tcW w:type="dxa" w:w="2240"/>
            <w:shd w:fill="FFFFFF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海外景气未转化为国内盈利；估值与拥挤度先行。</w:t>
            </w:r>
          </w:p>
        </w:tc>
      </w:tr>
      <w:tr>
        <w:tc>
          <w:tcPr>
            <w:tcW w:type="dxa" w:w="1780"/>
            <w:shd w:fill="F2F5F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/>
                <w:color w:val="1F2937"/>
                <w:sz w:val="18"/>
              </w:rPr>
              <w:t>美国高估值 AI</w:t>
            </w:r>
          </w:p>
        </w:tc>
        <w:tc>
          <w:tcPr>
            <w:tcW w:type="dxa" w:w="2450"/>
            <w:shd w:fill="F2F5F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收入端强，预期回报取决于资本效率与折现率。</w:t>
            </w:r>
          </w:p>
        </w:tc>
        <w:tc>
          <w:tcPr>
            <w:tcW w:type="dxa" w:w="2890"/>
            <w:shd w:fill="F2F5F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AI 收入/Capex、FCF、ROIC、财报后价格反应。</w:t>
            </w:r>
          </w:p>
        </w:tc>
        <w:tc>
          <w:tcPr>
            <w:tcW w:type="dxa" w:w="2240"/>
            <w:shd w:fill="F2F5F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高 Capex、长端利率上行、估值压缩。</w:t>
            </w:r>
          </w:p>
        </w:tc>
      </w:tr>
      <w:tr>
        <w:tc>
          <w:tcPr>
            <w:tcW w:type="dxa" w:w="1780"/>
            <w:shd w:fill="FFFFFF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/>
                <w:color w:val="1F2937"/>
                <w:sz w:val="18"/>
              </w:rPr>
              <w:t>黄金</w:t>
            </w:r>
          </w:p>
        </w:tc>
        <w:tc>
          <w:tcPr>
            <w:tcW w:type="dxa" w:w="2450"/>
            <w:shd w:fill="FFFFFF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中期支持仍在；短期受实际利率与美元主导。</w:t>
            </w:r>
          </w:p>
        </w:tc>
        <w:tc>
          <w:tcPr>
            <w:tcW w:type="dxa" w:w="2890"/>
            <w:shd w:fill="FFFFFF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实际利率、美元、央行需求、ETF 流。</w:t>
            </w:r>
          </w:p>
        </w:tc>
        <w:tc>
          <w:tcPr>
            <w:tcW w:type="dxa" w:w="2240"/>
            <w:shd w:fill="FFFFFF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通胀冲击推升实际利率和美元。</w:t>
            </w:r>
          </w:p>
        </w:tc>
      </w:tr>
      <w:tr>
        <w:tc>
          <w:tcPr>
            <w:tcW w:type="dxa" w:w="1780"/>
            <w:shd w:fill="F2F5F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/>
                <w:color w:val="1F2937"/>
                <w:sz w:val="18"/>
              </w:rPr>
              <w:t>铜/电气化</w:t>
            </w:r>
          </w:p>
        </w:tc>
        <w:tc>
          <w:tcPr>
            <w:tcW w:type="dxa" w:w="2450"/>
            <w:shd w:fill="F2F5F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长期需求链成立；短中期多变量驱动。</w:t>
            </w:r>
          </w:p>
        </w:tc>
        <w:tc>
          <w:tcPr>
            <w:tcW w:type="dxa" w:w="2890"/>
            <w:shd w:fill="F2F5F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中国需求、库存、矿山供给、电网投资、美元。</w:t>
            </w:r>
          </w:p>
        </w:tc>
        <w:tc>
          <w:tcPr>
            <w:tcW w:type="dxa" w:w="2240"/>
            <w:shd w:fill="F2F5F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传统周期走弱和供应增长压过 AI 需求。</w:t>
            </w:r>
          </w:p>
        </w:tc>
      </w:tr>
    </w:tbl>
    <w:p>
      <w:pPr>
        <w:spacing w:before="0" w:after="200" w:line="264" w:lineRule="auto"/>
      </w:pPr>
      <w:r>
        <w:rPr>
          <w:rFonts w:ascii="PingFang SC" w:hAnsi="PingFang SC" w:eastAsia="PingFang SC"/>
          <w:b w:val="0"/>
          <w:color w:val="5F6B7A"/>
          <w:sz w:val="17"/>
        </w:rPr>
        <w:t>注：以上为研究框架下的资产观察，不构成个券推荐、仓位建议或收益承诺。</w:t>
      </w:r>
    </w:p>
    <w:p>
      <w:pPr>
        <w:keepNext/>
        <w:spacing w:before="240" w:after="100"/>
      </w:pPr>
      <w:r>
        <w:rPr>
          <w:rFonts w:ascii="PingFang SC" w:hAnsi="PingFang SC" w:eastAsia="PingFang SC"/>
          <w:b/>
          <w:color w:val="1F4D78"/>
          <w:sz w:val="26"/>
        </w:rPr>
        <w:t>折现率仍是跨资产的共同约束</w:t>
      </w:r>
    </w:p>
    <w:p>
      <w:pPr>
        <w:spacing w:before="0" w:after="120" w:line="283" w:lineRule="auto"/>
      </w:pPr>
      <w:r>
        <w:rPr>
          <w:rFonts w:ascii="PingFang SC" w:hAnsi="PingFang SC" w:eastAsia="PingFang SC"/>
          <w:b w:val="0"/>
          <w:color w:val="1F2937"/>
          <w:sz w:val="22"/>
        </w:rPr>
        <w:t>能源冲击 → 通胀预期 → Fed / 长端利率重新定价 → 折现率上升 → 高久期成长资产承压。这条链条解释了为什么 AI 产业景气强与 AI 股票回报偏弱能够同时发生。对于高估值资产，盈利改善必须与资本成本、期限溢价和仓位共同评估。</w:t>
      </w:r>
    </w:p>
    <w:p>
      <w:pPr>
        <w:keepNext/>
        <w:spacing w:before="320" w:after="160"/>
      </w:pPr>
      <w:r>
        <w:rPr>
          <w:rFonts w:ascii="PingFang SC" w:hAnsi="PingFang SC" w:eastAsia="PingFang SC"/>
          <w:b/>
          <w:color w:val="2E74B5"/>
          <w:sz w:val="32"/>
        </w:rPr>
        <w:t>三、未来一个月：验证比预测更重要</w:t>
      </w:r>
    </w:p>
    <w:p>
      <w:pPr>
        <w:spacing w:before="0" w:after="120" w:line="278" w:lineRule="auto"/>
      </w:pPr>
      <w:r>
        <w:rPr>
          <w:rFonts w:ascii="PingFang SC" w:hAnsi="PingFang SC" w:eastAsia="PingFang SC"/>
          <w:b w:val="0"/>
          <w:color w:val="1F2937"/>
          <w:sz w:val="22"/>
        </w:rPr>
        <w:t>以下清单用于监测当前情景是否延续。它不试图预测每一项数据，而是明确什么证据会改变主判断。</w:t>
      </w:r>
    </w:p>
    <w:tbl>
      <w:tblPr>
        <w:tblW w:type="dxa" w:w="88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510"/>
        <w:gridCol w:w="3000"/>
      </w:tblGrid>
      <w:tr>
        <w:tc>
          <w:tcPr>
            <w:tcW w:type="dxa" w:w="2350"/>
            <w:shd w:fill="1F4D7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验证对象</w:t>
            </w:r>
          </w:p>
        </w:tc>
        <w:tc>
          <w:tcPr>
            <w:tcW w:type="dxa" w:w="3510"/>
            <w:shd w:fill="1F4D7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向好确认</w:t>
            </w:r>
          </w:p>
        </w:tc>
        <w:tc>
          <w:tcPr>
            <w:tcW w:type="dxa" w:w="3000"/>
            <w:shd w:fill="1F4D7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反证 / 恶化</w:t>
            </w:r>
          </w:p>
        </w:tc>
      </w:tr>
      <w:tr>
        <w:tc>
          <w:tcPr>
            <w:tcW w:type="dxa" w:w="2350"/>
            <w:shd w:fill="FFFFFF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/>
                <w:color w:val="1F2937"/>
                <w:sz w:val="18"/>
              </w:rPr>
              <w:t>中国私人需求扩散</w:t>
            </w:r>
          </w:p>
        </w:tc>
        <w:tc>
          <w:tcPr>
            <w:tcW w:type="dxa" w:w="3510"/>
            <w:shd w:fill="FFFFFF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民投、居民中长贷、社零、地产销售多领域持续改善。</w:t>
            </w:r>
          </w:p>
        </w:tc>
        <w:tc>
          <w:tcPr>
            <w:tcW w:type="dxa" w:w="3000"/>
            <w:shd w:fill="FFFFFF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产业仍强但私人需求继续下降。</w:t>
            </w:r>
          </w:p>
        </w:tc>
      </w:tr>
      <w:tr>
        <w:tc>
          <w:tcPr>
            <w:tcW w:type="dxa" w:w="2350"/>
            <w:shd w:fill="F2F5F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/>
                <w:color w:val="1F2937"/>
                <w:sz w:val="18"/>
              </w:rPr>
              <w:t>美国增长状态</w:t>
            </w:r>
          </w:p>
        </w:tc>
        <w:tc>
          <w:tcPr>
            <w:tcW w:type="dxa" w:w="3510"/>
            <w:shd w:fill="F2F5F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就业偏低但消费与利润稳定。</w:t>
            </w:r>
          </w:p>
        </w:tc>
        <w:tc>
          <w:tcPr>
            <w:tcW w:type="dxa" w:w="3000"/>
            <w:shd w:fill="F2F5F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就业、消费、信用同步恶化。</w:t>
            </w:r>
          </w:p>
        </w:tc>
      </w:tr>
      <w:tr>
        <w:tc>
          <w:tcPr>
            <w:tcW w:type="dxa" w:w="2350"/>
            <w:shd w:fill="FFFFFF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/>
                <w:color w:val="1F2937"/>
                <w:sz w:val="18"/>
              </w:rPr>
              <w:t>美国通胀—Fed—长端</w:t>
            </w:r>
          </w:p>
        </w:tc>
        <w:tc>
          <w:tcPr>
            <w:tcW w:type="dxa" w:w="3510"/>
            <w:shd w:fill="FFFFFF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通胀下降与长端利率同步回落。</w:t>
            </w:r>
          </w:p>
        </w:tc>
        <w:tc>
          <w:tcPr>
            <w:tcW w:type="dxa" w:w="3000"/>
            <w:shd w:fill="FFFFFF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Fed 偏鸽但长端继续上行。</w:t>
            </w:r>
          </w:p>
        </w:tc>
      </w:tr>
      <w:tr>
        <w:tc>
          <w:tcPr>
            <w:tcW w:type="dxa" w:w="2350"/>
            <w:shd w:fill="F2F5F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/>
                <w:color w:val="1F2937"/>
                <w:sz w:val="18"/>
              </w:rPr>
              <w:t>AI 资本效率</w:t>
            </w:r>
          </w:p>
        </w:tc>
        <w:tc>
          <w:tcPr>
            <w:tcW w:type="dxa" w:w="3510"/>
            <w:shd w:fill="F2F5F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收入 / FCF 增长赶上投资。</w:t>
            </w:r>
          </w:p>
        </w:tc>
        <w:tc>
          <w:tcPr>
            <w:tcW w:type="dxa" w:w="3000"/>
            <w:shd w:fill="F2F5F8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18"/>
              </w:rPr>
              <w:t>Capex 快于现金回报，融资成本上升。</w:t>
            </w:r>
          </w:p>
        </w:tc>
      </w:tr>
    </w:tbl>
    <w:p>
      <w:r>
        <w:br w:type="page"/>
      </w:r>
    </w:p>
    <w:p>
      <w:pPr>
        <w:keepNext/>
        <w:spacing w:before="320" w:after="160"/>
      </w:pPr>
      <w:r>
        <w:rPr>
          <w:rFonts w:ascii="PingFang SC" w:hAnsi="PingFang SC" w:eastAsia="PingFang SC"/>
          <w:b/>
          <w:color w:val="2E74B5"/>
          <w:sz w:val="32"/>
        </w:rPr>
        <w:t>四、研究边界与风险提示</w:t>
      </w:r>
    </w:p>
    <w:p>
      <w:pPr>
        <w:spacing w:before="0" w:after="160" w:line="283" w:lineRule="auto"/>
      </w:pPr>
      <w:r>
        <w:rPr>
          <w:rFonts w:ascii="PingFang SC" w:hAnsi="PingFang SC" w:eastAsia="PingFang SC"/>
          <w:b w:val="0"/>
          <w:color w:val="1F2937"/>
          <w:sz w:val="22"/>
        </w:rPr>
        <w:t>本文基于 2026 年 7 月历史研究材料与截至 2026 年 8 月 20 日可得信息整理。宏观数据可能被修订，市场定价亦可能先于或背离基本面变化。报告中的情景、判断与关注指标均有条件性，不应被理解为确定性结论。</w:t>
      </w:r>
    </w:p>
    <w:p>
      <w:pPr>
        <w:pStyle w:val="ListBullet"/>
        <w:spacing w:after="80" w:line="278" w:lineRule="auto"/>
        <w:ind w:left="360" w:hanging="259"/>
      </w:pPr>
      <w:r>
        <w:rPr>
          <w:rFonts w:ascii="PingFang SC" w:hAnsi="PingFang SC" w:eastAsia="PingFang SC"/>
          <w:color w:val="1F2937"/>
          <w:sz w:val="21"/>
        </w:rPr>
        <w:t>数据版本风险：尤其是就业等高频数据，初值与修订值的差异可能改变对增长韧性的判断。</w:t>
      </w:r>
    </w:p>
    <w:p>
      <w:pPr>
        <w:pStyle w:val="ListBullet"/>
        <w:spacing w:after="80" w:line="278" w:lineRule="auto"/>
        <w:ind w:left="360" w:hanging="259"/>
      </w:pPr>
      <w:r>
        <w:rPr>
          <w:rFonts w:ascii="PingFang SC" w:hAnsi="PingFang SC" w:eastAsia="PingFang SC"/>
          <w:color w:val="1F2937"/>
          <w:sz w:val="21"/>
        </w:rPr>
        <w:t>传导风险：政策、产业或外需端的改善，可能无法及时扩散至私人部门需求、公司利润或资产价格。</w:t>
      </w:r>
    </w:p>
    <w:p>
      <w:pPr>
        <w:pStyle w:val="ListBullet"/>
        <w:spacing w:after="80" w:line="278" w:lineRule="auto"/>
        <w:ind w:left="360" w:hanging="259"/>
      </w:pPr>
      <w:r>
        <w:rPr>
          <w:rFonts w:ascii="PingFang SC" w:hAnsi="PingFang SC" w:eastAsia="PingFang SC"/>
          <w:color w:val="1F2937"/>
          <w:sz w:val="21"/>
        </w:rPr>
        <w:t>估值风险：即使基本面持续改善，高估值资产仍可能受折现率、仓位与资本效率约束。</w:t>
      </w:r>
    </w:p>
    <w:p>
      <w:pPr>
        <w:pStyle w:val="ListBullet"/>
        <w:spacing w:after="80" w:line="278" w:lineRule="auto"/>
        <w:ind w:left="360" w:hanging="259"/>
      </w:pPr>
      <w:r>
        <w:rPr>
          <w:rFonts w:ascii="PingFang SC" w:hAnsi="PingFang SC" w:eastAsia="PingFang SC"/>
          <w:color w:val="1F2937"/>
          <w:sz w:val="21"/>
        </w:rPr>
        <w:t>适用边界：本报告不针对任何个人的风险承受能力、投资期限或资产配置目标提出建议。</w:t>
      </w:r>
    </w:p>
    <w:p>
      <w:pPr>
        <w:keepNext/>
        <w:spacing w:before="320" w:after="160"/>
      </w:pPr>
      <w:r>
        <w:rPr>
          <w:rFonts w:ascii="PingFang SC" w:hAnsi="PingFang SC" w:eastAsia="PingFang SC"/>
          <w:b/>
          <w:color w:val="2E74B5"/>
          <w:sz w:val="32"/>
        </w:rPr>
        <w:t>主要公开来源</w:t>
      </w:r>
    </w:p>
    <w:p>
      <w:pPr>
        <w:spacing w:before="0" w:after="100" w:line="264" w:lineRule="auto"/>
      </w:pPr>
      <w:r>
        <w:rPr>
          <w:rFonts w:ascii="PingFang SC" w:hAnsi="PingFang SC" w:eastAsia="PingFang SC"/>
          <w:b w:val="0"/>
          <w:color w:val="1F2937"/>
          <w:sz w:val="21"/>
        </w:rPr>
        <w:t>以下来源支撑本文所引用的宏观、政策与产业数据。链接保留为可点击的官方或公司发布页。</w:t>
      </w:r>
    </w:p>
    <w:p>
      <w:pPr>
        <w:spacing w:after="80" w:line="252" w:lineRule="auto"/>
      </w:pPr>
      <w:hyperlink r:id="rId11">
        <w:r>
          <w:rPr>
            <w:color w:val="2E74B5"/>
            <w:u w:val="single"/>
          </w:rPr>
          <w:t>国家统计局：2026 年 6 月份规模以上工业增加值</w:t>
        </w:r>
      </w:hyperlink>
    </w:p>
    <w:p>
      <w:pPr>
        <w:spacing w:after="80" w:line="252" w:lineRule="auto"/>
      </w:pPr>
      <w:hyperlink r:id="rId12">
        <w:r>
          <w:rPr>
            <w:color w:val="2E74B5"/>
            <w:u w:val="single"/>
          </w:rPr>
          <w:t>国家统计局：2026 年上半年国民经济运行情况</w:t>
        </w:r>
      </w:hyperlink>
    </w:p>
    <w:p>
      <w:pPr>
        <w:spacing w:after="80" w:line="252" w:lineRule="auto"/>
      </w:pPr>
      <w:hyperlink r:id="rId13">
        <w:r>
          <w:rPr>
            <w:color w:val="2E74B5"/>
            <w:u w:val="single"/>
          </w:rPr>
          <w:t>Federal Reserve：2026 年 7 月 FOMC Statement</w:t>
        </w:r>
      </w:hyperlink>
    </w:p>
    <w:p>
      <w:pPr>
        <w:spacing w:after="80" w:line="252" w:lineRule="auto"/>
      </w:pPr>
      <w:hyperlink r:id="rId14">
        <w:r>
          <w:rPr>
            <w:color w:val="2E74B5"/>
            <w:u w:val="single"/>
          </w:rPr>
          <w:t>Bureau of Labor Statistics：Employment Situation, July 2026</w:t>
        </w:r>
      </w:hyperlink>
    </w:p>
    <w:p>
      <w:pPr>
        <w:spacing w:after="80" w:line="252" w:lineRule="auto"/>
      </w:pPr>
      <w:hyperlink r:id="rId15">
        <w:r>
          <w:rPr>
            <w:color w:val="2E74B5"/>
            <w:u w:val="single"/>
          </w:rPr>
          <w:t>Bureau of Labor Statistics：Consumer Price Index, July 2026</w:t>
        </w:r>
      </w:hyperlink>
    </w:p>
    <w:p>
      <w:pPr>
        <w:spacing w:after="80" w:line="252" w:lineRule="auto"/>
      </w:pPr>
      <w:hyperlink r:id="rId16">
        <w:r>
          <w:rPr>
            <w:color w:val="2E74B5"/>
            <w:u w:val="single"/>
          </w:rPr>
          <w:t>BEA：GDP Advance Estimate, 2nd Quarter 2026</w:t>
        </w:r>
      </w:hyperlink>
    </w:p>
    <w:p>
      <w:pPr>
        <w:spacing w:after="80" w:line="252" w:lineRule="auto"/>
      </w:pPr>
      <w:hyperlink r:id="rId17">
        <w:r>
          <w:rPr>
            <w:color w:val="2E74B5"/>
            <w:u w:val="single"/>
          </w:rPr>
          <w:t>TSMC：2026 Q2 Quarterly Results</w:t>
        </w:r>
      </w:hyperlink>
    </w:p>
    <w:p>
      <w:pPr>
        <w:spacing w:after="80" w:line="252" w:lineRule="auto"/>
      </w:pPr>
      <w:hyperlink r:id="rId18">
        <w:r>
          <w:rPr>
            <w:color w:val="2E74B5"/>
            <w:u w:val="single"/>
          </w:rPr>
          <w:t>Microsoft：Cloud and AI Strength Fuels Fourth Quarter Results</w:t>
        </w:r>
      </w:hyperlink>
    </w:p>
    <w:p>
      <w:pPr>
        <w:spacing w:before="280" w:after="0" w:line="264" w:lineRule="auto"/>
        <w:jc w:val="center"/>
      </w:pPr>
      <w:r>
        <w:rPr>
          <w:rFonts w:ascii="PingFang SC" w:hAnsi="PingFang SC" w:eastAsia="PingFang SC"/>
          <w:b w:val="0"/>
          <w:color w:val="5F6B7A"/>
          <w:sz w:val="18"/>
        </w:rPr>
        <w:t>— 完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color w:val="5F6B7A"/>
        <w:sz w:val="16"/>
      </w:rPr>
      <w:t xml:space="preserve">仅供研究交流，不构成投资建议  · 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PingFang SC" w:hAnsi="PingFang SC" w:eastAsia="PingFang SC"/>
        <w:b w:val="0"/>
        <w:color w:val="5F6B7A"/>
        <w:sz w:val="17"/>
      </w:rPr>
      <w:t>宏观与投资策略月报  |  投资者版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tats.gov.cn/sj/zxfb/202607/t20260715_1964123.html?utm_source=chatgpt.com" TargetMode="External"/><Relationship Id="rId12" Type="http://schemas.openxmlformats.org/officeDocument/2006/relationships/hyperlink" Target="https://www.stats.gov.cn/xxgk/sjfb/zxfb2020/202607/t20260715_1964124.html?utm_source=chatgpt.com" TargetMode="External"/><Relationship Id="rId13" Type="http://schemas.openxmlformats.org/officeDocument/2006/relationships/hyperlink" Target="https://www.federalreserve.gov/newsevents/pressreleases/monetary20260729a.htm?utm_source=chatgpt.com" TargetMode="External"/><Relationship Id="rId14" Type="http://schemas.openxmlformats.org/officeDocument/2006/relationships/hyperlink" Target="https://www.bls.gov/news.release/archives/empsit_08072026.htm?utm_source=chatgpt.com" TargetMode="External"/><Relationship Id="rId15" Type="http://schemas.openxmlformats.org/officeDocument/2006/relationships/hyperlink" Target="https://www.bls.gov/news.release/pdf/cpi.pdf?search=Colorado-Springs&amp;utm_source=chatgpt.com" TargetMode="External"/><Relationship Id="rId16" Type="http://schemas.openxmlformats.org/officeDocument/2006/relationships/hyperlink" Target="https://www.bea.gov/news/2026/gdp-advance-estimate-2nd-quarter-2026?utm_source=chatgpt.com" TargetMode="External"/><Relationship Id="rId17" Type="http://schemas.openxmlformats.org/officeDocument/2006/relationships/hyperlink" Target="https://investor.tsmc.com/english/quarterly-results/2026/q2?utm_source=chatgpt.com" TargetMode="External"/><Relationship Id="rId18" Type="http://schemas.openxmlformats.org/officeDocument/2006/relationships/hyperlink" Target="https://news.microsoft.com/source/2026/07/29/microsoft-cloud-and-ai-strength-fuels-fourth-quarter-results-4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2026年7月宏观与投资策略月报｜投资者版</dc:title>
  <dc:subject>宏观与投资策略研究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