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0"/>
        </w:rPr>
        <w:t>BÁO CÁO ĐÁNH GIÁ NGUY CƠ CHẤT LƯỢNG &amp; KẾ HOẠCH HÀNH ĐỘNG (CAPA)</w:t>
      </w:r>
    </w:p>
    <w:p>
      <w:pPr>
        <w:spacing w:before="0" w:after="360"/>
      </w:pPr>
      <w:r>
        <w:rPr>
          <w:rFonts w:ascii="Calibri" w:hAnsi="Calibri"/>
          <w:i/>
          <w:color w:val="646464"/>
          <w:sz w:val="22"/>
        </w:rPr>
        <w:t>Đợt sản xuất: 07/09/2026 - 12/09/2026 | Quy mô kiểm toán: 144 Phiếu Công Nghệ</w:t>
      </w:r>
    </w:p>
    <w:p>
      <w:pPr>
        <w:pStyle w:val="Heading1"/>
      </w:pPr>
      <w:r>
        <w:rPr>
          <w:rFonts w:ascii="Calibri" w:hAnsi="Calibri"/>
          <w:b/>
          <w:color w:val="1B365D"/>
          <w:sz w:val="28"/>
        </w:rPr>
        <w:t>1. TỔNG QUAN TÌNH TRẠNG &amp; CẢNH BÁO RỦI RO ĐỎ</w:t>
      </w:r>
    </w:p>
    <w:p>
      <w:pPr>
        <w:spacing w:after="160"/>
      </w:pPr>
      <w:r>
        <w:t xml:space="preserve">Qua công tác kiểm toán và số hóa 144 phiếu công nghệ sản xuất trong tuần từ ngày 07/09 đến 12/09/2026, Bộ phận QA/QC đã phát hiện </w:t>
      </w:r>
      <w:r>
        <w:rPr>
          <w:b/>
        </w:rPr>
        <w:t>hàng loạt vi phạm kỹ thuật có tính hệ thống và mức độ rủi ro đặc biệt nghiêm trọng</w:t>
      </w:r>
      <w:r>
        <w:t>, trực tiếp đe dọa đến chất lượng màng sơn, tính năng chống ăn mòn biển C5M theo ISO 12944, và tiềm ẩn nguy cơ bồi thường bảo hành hàng chục tỷ đồng.</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c>
          <w:tcPr>
            <w:tcW w:type="dxa" w:w="4680"/>
            <w:shd w:fill="1B365D"/>
            <w:tcMar>
              <w:top w:w="80" w:type="dxa"/>
              <w:bottom w:w="80" w:type="dxa"/>
              <w:left w:w="100" w:type="dxa"/>
              <w:right w:w="100" w:type="dxa"/>
            </w:tcMar>
          </w:tcPr>
          <w:p>
            <w:r>
              <w:rPr>
                <w:b/>
                <w:color w:val="FFFFFF"/>
              </w:rPr>
              <w:t>Chỉ số kiểm toán</w:t>
            </w:r>
          </w:p>
        </w:tc>
        <w:tc>
          <w:tcPr>
            <w:tcW w:type="dxa" w:w="4680"/>
            <w:shd w:fill="1B365D"/>
            <w:tcMar>
              <w:top w:w="80" w:type="dxa"/>
              <w:bottom w:w="80" w:type="dxa"/>
              <w:left w:w="100" w:type="dxa"/>
              <w:right w:w="100" w:type="dxa"/>
            </w:tcMar>
          </w:tcPr>
          <w:p>
            <w:r>
              <w:rPr>
                <w:b/>
                <w:color w:val="FFFFFF"/>
              </w:rPr>
              <w:t>Kết quả ghi nhận</w:t>
            </w:r>
          </w:p>
        </w:tc>
      </w:tr>
      <w:tr>
        <w:tc>
          <w:tcPr>
            <w:tcW w:type="dxa" w:w="4680"/>
            <w:tcMar>
              <w:top w:w="60" w:type="dxa"/>
              <w:bottom w:w="60" w:type="dxa"/>
              <w:left w:w="100" w:type="dxa"/>
              <w:right w:w="100" w:type="dxa"/>
            </w:tcMar>
          </w:tcPr>
          <w:p>
            <w:r>
              <w:rPr>
                <w:b/>
                <w:sz w:val="20"/>
              </w:rPr>
              <w:t>Tổng sản lượng thực tế nhập kho:</w:t>
            </w:r>
          </w:p>
        </w:tc>
        <w:tc>
          <w:tcPr>
            <w:tcW w:type="dxa" w:w="4680"/>
            <w:tcMar>
              <w:top w:w="60" w:type="dxa"/>
              <w:bottom w:w="60" w:type="dxa"/>
              <w:left w:w="100" w:type="dxa"/>
              <w:right w:w="100" w:type="dxa"/>
            </w:tcMar>
          </w:tcPr>
          <w:p>
            <w:r>
              <w:rPr>
                <w:sz w:val="20"/>
              </w:rPr>
              <w:t>133.055,70 Lít/Kg (Vượt +4.440,80 Lít/Kg so với Kế hoạch 128.614,90 Lít/Kg)</w:t>
            </w:r>
          </w:p>
        </w:tc>
      </w:tr>
      <w:tr>
        <w:tc>
          <w:tcPr>
            <w:tcW w:type="dxa" w:w="4680"/>
            <w:tcMar>
              <w:top w:w="60" w:type="dxa"/>
              <w:bottom w:w="60" w:type="dxa"/>
              <w:left w:w="100" w:type="dxa"/>
              <w:right w:w="100" w:type="dxa"/>
            </w:tcMar>
          </w:tcPr>
          <w:p>
            <w:r>
              <w:rPr>
                <w:b/>
                <w:sz w:val="20"/>
              </w:rPr>
              <w:t>Tổng dung môi bẩn súc bồn nạp trực tiếp:</w:t>
            </w:r>
          </w:p>
        </w:tc>
        <w:tc>
          <w:tcPr>
            <w:tcW w:type="dxa" w:w="4680"/>
            <w:tcMar>
              <w:top w:w="60" w:type="dxa"/>
              <w:bottom w:w="60" w:type="dxa"/>
              <w:left w:w="100" w:type="dxa"/>
              <w:right w:w="100" w:type="dxa"/>
            </w:tcMar>
          </w:tcPr>
          <w:p>
            <w:r>
              <w:rPr>
                <w:b/>
                <w:color w:val="B40000"/>
                <w:sz w:val="20"/>
              </w:rPr>
              <w:t>883,00 kg (694,00 kg HCS bẩn đỏ + 189,00 kg DM GF bẩn súc rửa)</w:t>
            </w:r>
          </w:p>
        </w:tc>
      </w:tr>
      <w:tr>
        <w:tc>
          <w:tcPr>
            <w:tcW w:type="dxa" w:w="4680"/>
            <w:tcMar>
              <w:top w:w="60" w:type="dxa"/>
              <w:bottom w:w="60" w:type="dxa"/>
              <w:left w:w="100" w:type="dxa"/>
              <w:right w:w="100" w:type="dxa"/>
            </w:tcMar>
          </w:tcPr>
          <w:p>
            <w:r>
              <w:rPr>
                <w:b/>
                <w:sz w:val="20"/>
              </w:rPr>
              <w:t>Tổng khối lượng sơn đông GF1253-MC tái chế cưỡng bức:</w:t>
            </w:r>
          </w:p>
        </w:tc>
        <w:tc>
          <w:tcPr>
            <w:tcW w:type="dxa" w:w="4680"/>
            <w:tcMar>
              <w:top w:w="60" w:type="dxa"/>
              <w:bottom w:w="60" w:type="dxa"/>
              <w:left w:w="100" w:type="dxa"/>
              <w:right w:w="100" w:type="dxa"/>
            </w:tcMar>
          </w:tcPr>
          <w:p>
            <w:r>
              <w:rPr>
                <w:b/>
                <w:color w:val="B40000"/>
                <w:sz w:val="20"/>
              </w:rPr>
              <w:t>6.865,00 kg (Chiếm sản lượng vượt gấp đôi tại 5 mẻ liên tiếp)</w:t>
            </w:r>
          </w:p>
        </w:tc>
      </w:tr>
      <w:tr>
        <w:tc>
          <w:tcPr>
            <w:tcW w:type="dxa" w:w="4680"/>
            <w:tcMar>
              <w:top w:w="60" w:type="dxa"/>
              <w:bottom w:w="60" w:type="dxa"/>
              <w:left w:w="100" w:type="dxa"/>
              <w:right w:w="100" w:type="dxa"/>
            </w:tcMar>
          </w:tcPr>
          <w:p>
            <w:r>
              <w:rPr>
                <w:b/>
                <w:sz w:val="20"/>
              </w:rPr>
              <w:t>Tổng số phiếu có can thiệp / sửa tay BOM:</w:t>
            </w:r>
          </w:p>
        </w:tc>
        <w:tc>
          <w:tcPr>
            <w:tcW w:type="dxa" w:w="4680"/>
            <w:tcMar>
              <w:top w:w="60" w:type="dxa"/>
              <w:bottom w:w="60" w:type="dxa"/>
              <w:left w:w="100" w:type="dxa"/>
              <w:right w:w="100" w:type="dxa"/>
            </w:tcMar>
          </w:tcPr>
          <w:p>
            <w:r>
              <w:rPr>
                <w:sz w:val="20"/>
              </w:rPr>
              <w:t>42 / 144 phiếu (Chiếm tỷ lệ 29,17% tổng lượng phiếu)</w:t>
            </w:r>
          </w:p>
        </w:tc>
      </w:tr>
    </w:tbl>
    <w:p>
      <w:pPr>
        <w:spacing w:after="240"/>
      </w:pPr>
    </w:p>
    <w:p>
      <w:pPr>
        <w:pStyle w:val="Heading1"/>
      </w:pPr>
      <w:r>
        <w:rPr>
          <w:rFonts w:ascii="Calibri" w:hAnsi="Calibri"/>
          <w:b/>
          <w:color w:val="1B365D"/>
          <w:sz w:val="28"/>
        </w:rPr>
        <w:t>2. ĐÁNH GIÁ RỦI RO KỸ THUẬT CHUYÊN SÂU (TECHNICAL RISK ASSESSMENT)</w:t>
      </w:r>
    </w:p>
    <w:p>
      <w:pPr>
        <w:spacing w:before="120" w:after="80"/>
      </w:pPr>
      <w:r>
        <w:rPr>
          <w:b/>
        </w:rPr>
        <w:t>2.1. Nguy cơ từ việc đưa 883 kg Dung môi bẩn ('HCS bẩn đỏ' và 'DM GF bẩn') vào mẻ sơn dự án GF1151-MC:</w:t>
      </w:r>
    </w:p>
    <w:p>
      <w:pPr>
        <w:pStyle w:val="ListBullet"/>
        <w:spacing w:after="60"/>
      </w:pPr>
      <w:r>
        <w:rPr>
          <w:b/>
        </w:rPr>
        <w:t xml:space="preserve">Phá vỡ tỷ lệ phản ứng đóng rắn Epoxy - Polyamide: </w:t>
      </w:r>
      <w:r>
        <w:t>Dung môi súc bồn chứa nhựa thoái hóa, cặn oxy hóa và lượng ẩm tự do cao. Nước và axit hữu cơ tạp chất sẽ phản ứng cạnh tranh với nhóm Amine, dẫn đến màng sơn bị đóng rắn dở dang (under-cured). Hậu quả là màng sơn mềm, dính dính (tacky film), giảm mạnh độ cứng Buchholz và độ bền kéo.</w:t>
      </w:r>
    </w:p>
    <w:p>
      <w:pPr>
        <w:pStyle w:val="ListBullet"/>
        <w:spacing w:after="60"/>
      </w:pPr>
      <w:r>
        <w:rPr>
          <w:b/>
        </w:rPr>
        <w:t xml:space="preserve">Tạo vi bọt xốp mao dẫn (Micro-porosity &amp; Pinholes): </w:t>
      </w:r>
      <w:r>
        <w:t>Dung môi súc rửa là hỗn hợp bay hơi hỗn loạn với các phân đoạn nặng khó bay hơi. Khi thi công màng sơn vảy thủy tinh có độ dày cao (250 - 400 µm DFT), dung môi kẹt bên trong thoát ra chậm tạo các đường rò mao dẫn xuyên thủng lớp phiến vảy thủy tinh, làm mất hoàn toàn hiệu ứng chắn cản (Barrier Effect).</w:t>
      </w:r>
    </w:p>
    <w:p>
      <w:pPr>
        <w:pStyle w:val="ListBullet"/>
        <w:spacing w:after="60"/>
      </w:pPr>
      <w:r>
        <w:rPr>
          <w:b/>
        </w:rPr>
        <w:t xml:space="preserve">Hủy hoại khả năng kháng sương muối biển C5M (ISO 12944-6): </w:t>
      </w:r>
      <w:r>
        <w:t>Các ion Cl- và muối hòa tan trong bồn rửa kích hoạt quá trình ăn mòn dưới màng sơn (under-film corrosion), gây hiện tượng phồng rộp thẩm thấu (Osmotic Blistering) và tách lớp (delamination) sau 3-6 tháng đưa vào môi trường biển.</w:t>
      </w:r>
    </w:p>
    <w:p>
      <w:pPr>
        <w:spacing w:before="120" w:after="80"/>
      </w:pPr>
      <w:r>
        <w:rPr>
          <w:b/>
        </w:rPr>
        <w:t>2.2. Nguy cơ từ việc tái chế cưỡng bức 6.865 kg sơn GF1253-MC bị đông cứng / gel hóa:</w:t>
      </w:r>
    </w:p>
    <w:p>
      <w:pPr>
        <w:pStyle w:val="ListBullet"/>
        <w:spacing w:after="60"/>
      </w:pPr>
      <w:r>
        <w:rPr>
          <w:b/>
        </w:rPr>
        <w:t xml:space="preserve">Hình thành vi hạt cặn gel không tan (Seeding): </w:t>
      </w:r>
      <w:r>
        <w:t>Sơn Epoxy khi đã gel hóa là quá trình tạo mạng 3 chiều không thuận nghịch. Việc khuấy cơ học chỉ bẻ gãy tạm thời cấu trúc vĩ mô nhưng không phá hủy được các hạt vi gel. Khi thi công súng phun Airless, vi hạt gel gây tắc béc phun liên tục và tạo bề mặt sần da cam.</w:t>
      </w:r>
    </w:p>
    <w:p>
      <w:pPr>
        <w:pStyle w:val="ListBullet"/>
        <w:spacing w:after="60"/>
      </w:pPr>
      <w:r>
        <w:rPr>
          <w:b/>
        </w:rPr>
        <w:t xml:space="preserve">Suy giảm độ bám dính kéo đứt (Pull-off Adhesion ASTM D4541): </w:t>
      </w:r>
      <w:r>
        <w:t>Độ bám dính tiêu chuẩn của dòng Glass Flake yêu cầu ≥ 10 MPa. Sự hiện diện của mạng lưới polyme đã già hóa khiến độ bám dính sụt giảm dưới 5 MPa, gây nứt vỡ màng sơn dưới tác động của ứng suất co ngót nhiệt.</w:t>
      </w:r>
    </w:p>
    <w:p>
      <w:pPr>
        <w:spacing w:before="120" w:after="80"/>
      </w:pPr>
      <w:r>
        <w:rPr>
          <w:b/>
        </w:rPr>
        <w:t>2.3. Nguy cơ nhiễm chéo gốc nhựa ở lô SX-0407 (GF1151-MC nạp 605 kg PU1K2008RAL):</w:t>
      </w:r>
    </w:p>
    <w:p>
      <w:pPr>
        <w:pStyle w:val="ListBullet"/>
        <w:spacing w:after="160"/>
      </w:pPr>
      <w:r>
        <w:rPr>
          <w:b/>
        </w:rPr>
        <w:t xml:space="preserve">Phân tách pha vi mô (Micro-phase Separation): </w:t>
      </w:r>
      <w:r>
        <w:t>Hệ nhựa Alkyd/PU biến tính dầu và nhựa Epoxy Bisphenol-A hoàn toàn không tương hợp nhiệt động học. Việc pha trộn tạo ra các vùng dị thể, làm màng sơn mất khả năng kháng kiềm, nhanh chóng bị phấn hóa trắng và nứt rạn chân chim.</w:t>
      </w:r>
    </w:p>
    <w:p>
      <w:pPr>
        <w:pStyle w:val="Heading1"/>
      </w:pPr>
      <w:r>
        <w:rPr>
          <w:rFonts w:ascii="Calibri" w:hAnsi="Calibri"/>
          <w:b/>
          <w:color w:val="1B365D"/>
          <w:sz w:val="28"/>
        </w:rPr>
        <w:t>3. HÀNH ĐỘNG KHẮC PHỤC TỨC THỜI (CONTAINMENT ACTIONS - 24 GIỜ)</w:t>
      </w:r>
    </w:p>
    <w:p>
      <w:r>
        <w:rPr>
          <w:i/>
        </w:rPr>
        <w:t>Để ngăn chặn triệt để rủi ro xuất xưởng sản phẩm lỗi ra công trường, Phòng QA/QC kích hoạt quy trình ứng phó khẩn cấp cấp độ 1:</w:t>
      </w:r>
    </w:p>
    <w:p>
      <w:pPr>
        <w:pStyle w:val="ListBullet"/>
        <w:spacing w:after="80"/>
      </w:pPr>
      <w:r>
        <w:rPr>
          <w:b/>
        </w:rPr>
        <w:t xml:space="preserve">Lệnh Biệt trữ &amp; Niêm phong Kho (Quarantine Hold): </w:t>
      </w:r>
      <w:r>
        <w:t>Ban hành Lệnh biệt trữ tức thì đối với: Lô SX-0468 (1.952L GF1151-MC), Lô SX-0470 (1.920L GF1151-MC), Lô SX-0407 (1.984L GF1151-MC), và 5 lô GF1253-MC (SX-0374, SX-0385, SX-0433, SX-0445, SX-0467). Dán tem ĐỎ 'HÀNG CHỜ PHÁN QUYẾT QA - CẤM DI DỜI / CẤM XUẤT KHO' và khóa mã xuất kho trên hệ thống phần mềm.</w:t>
      </w:r>
    </w:p>
    <w:p>
      <w:pPr>
        <w:pStyle w:val="ListBullet"/>
        <w:spacing w:after="80"/>
      </w:pPr>
      <w:r>
        <w:rPr>
          <w:b/>
        </w:rPr>
        <w:t xml:space="preserve">Lấy mẫu kiểm định độc lập (PQC/FQC Testing Protocol): </w:t>
      </w:r>
      <w:r>
        <w:t>Lấy mẫu ngẫu nhiên đại diện theo ISO 2859-1 (AQL 0.4). Thực hiện các phép thử chuyên sâu: Kiểm tra độ mịn Hegman (≤ 40 µm), phun thử tấm mẫu thép cát Sa 2.5 để đo bám dính kéo đứt (Pull-off Adhesion ASTM D4541 - yêu cầu ≥ 10 MPa), đo độ uốn trục nón (ASTM D522) và đưa vào buồng thử nghiệm mù muối gia tốc ASTM B117 trong 500 giờ.</w:t>
      </w:r>
    </w:p>
    <w:p>
      <w:pPr>
        <w:pStyle w:val="ListBullet"/>
        <w:spacing w:after="80"/>
      </w:pPr>
      <w:r>
        <w:rPr>
          <w:b/>
        </w:rPr>
        <w:t xml:space="preserve">Thu hồi &amp; Cô lập Dung môi Thu hồi: </w:t>
      </w:r>
      <w:r>
        <w:t>Niêm phong toàn bộ phuy chứa dung môi súc rửa, di dời ngay khỏi khu vực sản xuất về kho chất thải nguy hại có khóa bảo vệ.</w:t>
      </w:r>
    </w:p>
    <w:p>
      <w:pPr>
        <w:spacing w:after="160"/>
      </w:pPr>
    </w:p>
    <w:p>
      <w:pPr>
        <w:pStyle w:val="Heading1"/>
      </w:pPr>
      <w:r>
        <w:rPr>
          <w:rFonts w:ascii="Calibri" w:hAnsi="Calibri"/>
          <w:b/>
          <w:color w:val="1B365D"/>
          <w:sz w:val="28"/>
        </w:rPr>
        <w:t>4. PHÂN TÍCH NGUYÊN NHÂN GỐC RỄ (ROOT CAUSE ANALYSIS - 5 WHYS)</w:t>
      </w:r>
    </w:p>
    <w:p>
      <w:pPr>
        <w:spacing w:before="120" w:after="60"/>
      </w:pPr>
      <w:r>
        <w:rPr>
          <w:b/>
        </w:rPr>
        <w:t>Nhánh 1: Tự ý nạp 883 kg dung môi bẩn ('HCS bẩn đỏ' và 'DM GF bẩn')</w:t>
      </w:r>
    </w:p>
    <w:p>
      <w:pPr>
        <w:pStyle w:val="ListBullet"/>
        <w:spacing w:after="40"/>
      </w:pPr>
      <w:r>
        <w:rPr>
          <w:b/>
        </w:rPr>
        <w:t xml:space="preserve">Why 1: Tại sao công nhân nạp dung môi bẩn vào mẻ sơn? </w:t>
      </w:r>
      <w:r>
        <w:t>Vì ca sản xuất thiếu dung môi sạch và có sẵn các phuy súc bồn xung quanh.</w:t>
      </w:r>
    </w:p>
    <w:p>
      <w:pPr>
        <w:pStyle w:val="ListBullet"/>
        <w:spacing w:after="40"/>
      </w:pPr>
      <w:r>
        <w:rPr>
          <w:b/>
        </w:rPr>
        <w:t xml:space="preserve">Why 2: Tại sao các phuy súc bồn lại có sẵn cạnh máy khuấy? </w:t>
      </w:r>
      <w:r>
        <w:t>Vì các phuy dung môi súc rửa không được dán nhãn chất thải nguy hại và không bị khóa van cô lập.</w:t>
      </w:r>
    </w:p>
    <w:p>
      <w:pPr>
        <w:pStyle w:val="ListBullet"/>
        <w:spacing w:after="40"/>
      </w:pPr>
      <w:r>
        <w:rPr>
          <w:b/>
        </w:rPr>
        <w:t xml:space="preserve">Why 3: Tại sao Quản đốc lại ký duyệt cho phép nạp dung môi bẩn? </w:t>
      </w:r>
      <w:r>
        <w:t>Vì áp lực muốn tiết kiệm chi phí dung môi mới và tận dụng sơn cặn bồn để bù sản lượng.</w:t>
      </w:r>
    </w:p>
    <w:p>
      <w:pPr>
        <w:pStyle w:val="ListBullet"/>
        <w:spacing w:after="40"/>
      </w:pPr>
      <w:r>
        <w:rPr>
          <w:b/>
        </w:rPr>
        <w:t xml:space="preserve">Why 4: Tại sao không lọc hoặc chưng cất trước khi đưa vào sản xuất? </w:t>
      </w:r>
      <w:r>
        <w:t>Vì nhà máy chưa đầu tư hệ thống tháp chưng cất dung môi chân không đạt chuẩn.</w:t>
      </w:r>
    </w:p>
    <w:p>
      <w:pPr>
        <w:pStyle w:val="ListBullet"/>
        <w:spacing w:after="40"/>
      </w:pPr>
      <w:r>
        <w:rPr>
          <w:b/>
          <w:color w:val="B40000"/>
        </w:rPr>
        <w:t xml:space="preserve">GỐC RỄ 1 (Root Cause 1): </w:t>
      </w:r>
      <w:r>
        <w:rPr>
          <w:b/>
          <w:color w:val="B40000"/>
        </w:rPr>
        <w:t>Thiếu ranh giới quản lý kỹ thuật giữa chất thải và nguyên liệu đầu vào; áp lực KPI sản lượng đè bẹp kỷ luật tuân thủ chất lượng ISO 9001.</w:t>
      </w:r>
    </w:p>
    <w:p>
      <w:pPr>
        <w:spacing w:before="120" w:after="60"/>
      </w:pPr>
      <w:r>
        <w:rPr>
          <w:b/>
        </w:rPr>
        <w:t>Nhánh 2: Khủng hoảng tái chế 6.865 kg sơn GF1253-MC bị đông cứng</w:t>
      </w:r>
    </w:p>
    <w:p>
      <w:pPr>
        <w:pStyle w:val="ListBullet"/>
        <w:spacing w:after="40"/>
      </w:pPr>
      <w:r>
        <w:rPr>
          <w:b/>
        </w:rPr>
        <w:t xml:space="preserve">Why 1: Tại sao 5 mẻ GF1253-MC có sản lượng vọt tăng gấp đôi (+100%)? </w:t>
      </w:r>
      <w:r>
        <w:t>Vì xưởng đã nạp cưỡng bức hàng tấn sơn đông của các lô trước vào mẻ mới.</w:t>
      </w:r>
    </w:p>
    <w:p>
      <w:pPr>
        <w:pStyle w:val="ListBullet"/>
        <w:spacing w:after="40"/>
      </w:pPr>
      <w:r>
        <w:rPr>
          <w:b/>
        </w:rPr>
        <w:t xml:space="preserve">Why 2: Tại sao lại phát sinh khối lượng lớn sơn GF1253-MC bị đông trong kho? </w:t>
      </w:r>
      <w:r>
        <w:t>Do hiện tượng thixotropic keo tụ nhanh trong quá trình bảo quản hoặc tỷ lệ dung môi bay hơi quá nhanh.</w:t>
      </w:r>
    </w:p>
    <w:p>
      <w:pPr>
        <w:pStyle w:val="ListBullet"/>
        <w:spacing w:after="40"/>
      </w:pPr>
      <w:r>
        <w:rPr>
          <w:b/>
        </w:rPr>
        <w:t xml:space="preserve">Why 3: Tại sao xưởng không lập phiếu Báo cáo Sự cố Không phù hợp (NCR)? </w:t>
      </w:r>
      <w:r>
        <w:t>Do xưởng sợ bị quy trách nhiệm lỗi kỹ thuật và phạt định mức hao hụt.</w:t>
      </w:r>
    </w:p>
    <w:p>
      <w:pPr>
        <w:pStyle w:val="ListBullet"/>
        <w:spacing w:after="40"/>
      </w:pPr>
      <w:r>
        <w:rPr>
          <w:b/>
        </w:rPr>
        <w:t xml:space="preserve">Why 4: Tại sao QC ca không ngăn chặn việc xả sơn đông vào máy khuấy? </w:t>
      </w:r>
      <w:r>
        <w:t>Thiếu chốt kiểm soát (Hold Point) bắt buộc trước khi nạp liệu giai đoạn 1.</w:t>
      </w:r>
    </w:p>
    <w:p>
      <w:pPr>
        <w:pStyle w:val="ListBullet"/>
        <w:spacing w:after="40"/>
      </w:pPr>
      <w:r>
        <w:rPr>
          <w:b/>
          <w:color w:val="B40000"/>
        </w:rPr>
        <w:t xml:space="preserve">GỐC RỄ 2 (Root Cause 2): </w:t>
      </w:r>
      <w:r>
        <w:rPr>
          <w:b/>
          <w:color w:val="B40000"/>
        </w:rPr>
        <w:t>Quy trình kiểm soát sản phẩm không phù hợp (ISO 9001: Điều khoản 8.7) bị vô hiệu hóa hoàn toàn tại cấp phân xưởng.</w:t>
      </w:r>
    </w:p>
    <w:p>
      <w:pPr>
        <w:spacing w:before="120" w:after="60"/>
      </w:pPr>
      <w:r>
        <w:rPr>
          <w:b/>
        </w:rPr>
        <w:t>Nhánh 3: Tình trạng sửa tay phiếu công nghệ tràn lan (42 phiếu)</w:t>
      </w:r>
    </w:p>
    <w:p>
      <w:pPr>
        <w:pStyle w:val="ListBullet"/>
        <w:spacing w:after="40"/>
      </w:pPr>
      <w:r>
        <w:rPr>
          <w:b/>
        </w:rPr>
        <w:t xml:space="preserve">Why 1: Tại sao phiếu in bị gạch xóa bút mực và viết tay thông số? </w:t>
      </w:r>
      <w:r>
        <w:t>Do độ nhớt mẻ sơn thực tế bị đặc, xưởng tự ý châm dung môi hạ nhớt.</w:t>
      </w:r>
    </w:p>
    <w:p>
      <w:pPr>
        <w:pStyle w:val="ListBullet"/>
        <w:spacing w:after="40"/>
      </w:pPr>
      <w:r>
        <w:rPr>
          <w:b/>
        </w:rPr>
        <w:t xml:space="preserve">Why 2: Tại sao công thức BOM in ra không khớp với độ nhớt thực tế? </w:t>
      </w:r>
      <w:r>
        <w:t>Do R&amp;D chưa tối ưu hóa công thức theo biến thiên nhiệt độ xưởng (33-34°C).</w:t>
      </w:r>
    </w:p>
    <w:p>
      <w:pPr>
        <w:pStyle w:val="ListBullet"/>
        <w:spacing w:after="40"/>
      </w:pPr>
      <w:r>
        <w:rPr>
          <w:b/>
        </w:rPr>
        <w:t xml:space="preserve">Why 3: Tại sao việc điều chỉnh công thức không qua phê duyệt chính thức? </w:t>
      </w:r>
      <w:r>
        <w:t>Quy trình ECN trên giấy quá chậm chạp, xưởng chỉnh tay theo 'kinh nghiệm' để kịp đóng thùng.</w:t>
      </w:r>
    </w:p>
    <w:p>
      <w:pPr>
        <w:pStyle w:val="ListBullet"/>
        <w:spacing w:after="40"/>
      </w:pPr>
      <w:r>
        <w:rPr>
          <w:b/>
        </w:rPr>
        <w:t xml:space="preserve">Why 4: Tại sao Ban Giám đốc không phát hiện sớm? </w:t>
      </w:r>
      <w:r>
        <w:t>Thiếu công cụ phần mềm đối soát tự động giữa lệnh gốc và báo cáo sản xuất.</w:t>
      </w:r>
    </w:p>
    <w:p>
      <w:pPr>
        <w:pStyle w:val="ListBullet"/>
        <w:spacing w:after="40"/>
      </w:pPr>
      <w:r>
        <w:rPr>
          <w:b/>
          <w:color w:val="B40000"/>
        </w:rPr>
        <w:t xml:space="preserve">GỐC RỄ 3 (Root Cause 3): </w:t>
      </w:r>
      <w:r>
        <w:rPr>
          <w:b/>
          <w:color w:val="B40000"/>
        </w:rPr>
        <w:t>Thiếu quy trình Quản lý thay đổi kỹ thuật (MOC/ECN) số hóa và phân quyền kiểm soát lỏng lẻo.</w:t>
      </w:r>
    </w:p>
    <w:p>
      <w:pPr>
        <w:spacing w:after="160"/>
      </w:pPr>
    </w:p>
    <w:p>
      <w:pPr>
        <w:pStyle w:val="Heading1"/>
      </w:pPr>
      <w:r>
        <w:rPr>
          <w:rFonts w:ascii="Calibri" w:hAnsi="Calibri"/>
          <w:b/>
          <w:color w:val="1B365D"/>
          <w:sz w:val="28"/>
        </w:rPr>
        <w:t>5. KẾ HOẠCH HÀNH ĐỘNG KHẮC PHỤC &amp; PHÒNG NGỪA (CAPA PLAN)</w:t>
      </w:r>
    </w:p>
    <w:p>
      <w:pPr>
        <w:spacing w:before="80" w:after="60"/>
      </w:pPr>
      <w:r>
        <w:rPr>
          <w:b/>
        </w:rPr>
        <w:t>5.1. Hành động khắc phục ngắn hạn (Corrective Actions - Hoàn thành trong 07 ngày):</w:t>
      </w:r>
    </w:p>
    <w:p>
      <w:pPr>
        <w:pStyle w:val="ListBullet"/>
        <w:spacing w:after="40"/>
      </w:pPr>
      <w:r>
        <w:t>Cấm tuyệt đối việc đưa dung môi súc rửa, 'HCS bẩn đỏ' và sơn đông vào mẻ sơn thành phẩm. Quy rõ chế tài sa thải nếu cố tình vi phạm.</w:t>
      </w:r>
    </w:p>
    <w:p>
      <w:pPr>
        <w:pStyle w:val="ListBullet"/>
        <w:spacing w:after="40"/>
      </w:pPr>
      <w:r>
        <w:t>Thu gom và dán nhãn nhận diện VÀNG/ĐEN cho toàn bộ phuy súc rửa, khóa van niêm phong tại kho chất thải nguy hại.</w:t>
      </w:r>
    </w:p>
    <w:p>
      <w:pPr>
        <w:pStyle w:val="ListBullet"/>
        <w:spacing w:after="40"/>
      </w:pPr>
      <w:r>
        <w:t>Ban hành quy định 'Vùng cấm sửa phiếu': Cấm dùng bút gạch xóa BOM. Mọi điều chỉnh &gt; 5 kg dung môi bù phải có chữ ký phê duyệt ECN khẩn cấp từ Trưởng phòng R&amp;D.</w:t>
      </w:r>
    </w:p>
    <w:p>
      <w:pPr>
        <w:spacing w:before="120" w:after="60"/>
      </w:pPr>
      <w:r>
        <w:rPr>
          <w:b/>
        </w:rPr>
        <w:t>5.2. Biện pháp phòng ngừa dài hạn (Preventive Actions - Hoàn thành trong 30-45 ngày):</w:t>
      </w:r>
    </w:p>
    <w:p>
      <w:pPr>
        <w:pStyle w:val="ListBullet"/>
        <w:spacing w:after="40"/>
      </w:pPr>
      <w:r>
        <w:t>Ban hành SOP Tiêu chuẩn hóa Dung môi Tái sinh: Lọc qua túi 5 µm, kiểm tra độ ẩm Karl Fischer ≤ 0,2%, màu sắc Hazen ≤ 30. Chỉ sử dụng cho sơn kinh tế cấp thấp, tuyệt đối cấm dùng cho sơn dự án biển.</w:t>
      </w:r>
    </w:p>
    <w:p>
      <w:pPr>
        <w:pStyle w:val="ListBullet"/>
        <w:spacing w:after="40"/>
      </w:pPr>
      <w:r>
        <w:t>Số hóa 100% quy trình ECN trên phần mềm xưởng: Khi độ nhớt lệch, PQC nhập thông số đo, hệ thống tự động tính lượng dung môi bù và gửi thông báo phê duyệt tức thời về điện thoại của Giám đốc Kỹ thuật.</w:t>
      </w:r>
    </w:p>
    <w:p>
      <w:pPr>
        <w:pStyle w:val="ListBullet"/>
        <w:spacing w:after="40"/>
      </w:pPr>
      <w:r>
        <w:t>Tái thẩm tra công thức (Formula Re-validation): R&amp;D cập nhật dải độ nhớt theo nhiệt độ mùa nóng (33-34°C) để công thức BOM sát thực tế, loại bỏ việc công nhân phải 'châm bù theo kinh nghiệm'.</w:t>
      </w:r>
    </w:p>
    <w:p>
      <w:pPr>
        <w:spacing w:after="160"/>
      </w:pPr>
    </w:p>
    <w:p>
      <w:pPr>
        <w:pStyle w:val="Heading1"/>
      </w:pPr>
      <w:r>
        <w:rPr>
          <w:rFonts w:ascii="Calibri" w:hAnsi="Calibri"/>
          <w:b/>
          <w:color w:val="1B365D"/>
          <w:sz w:val="28"/>
        </w:rPr>
        <w:t>6. THAM MƯU CHIẾN LƯỢC CHO BAN GIÁM ĐỐC (BOD STRATEGIC ADVISORY)</w:t>
      </w:r>
    </w:p>
    <w:p>
      <w:pPr>
        <w:pStyle w:val="ListBullet"/>
        <w:spacing w:after="80"/>
      </w:pPr>
      <w:r>
        <w:rPr>
          <w:b/>
        </w:rPr>
        <w:t xml:space="preserve">1. Trao Quyền Veto Tuyệt đối cho QA/QC &amp; Thay đổi Cơ chế Đánh giá KPI: </w:t>
      </w:r>
      <w:r>
        <w:t>Trao quyền phủ quyết xuất xưởng cho QA/QC đối với bất kỳ mẻ sơn nào sửa BOM thủ công. Thay đổi KPI xưởng: Đặt trọng số 70% vào Tỷ lệ Đạt Chất Lượng Xuất Xưởng Lần Đầu (First Time Right - FTR ≥ 98%) thay vì chỉ chạy theo sản lượng cơ học.</w:t>
      </w:r>
    </w:p>
    <w:p>
      <w:pPr>
        <w:pStyle w:val="ListBullet"/>
        <w:spacing w:after="80"/>
      </w:pPr>
      <w:r>
        <w:rPr>
          <w:b/>
        </w:rPr>
        <w:t xml:space="preserve">2. Đầu tư Hệ thống Chưng cất Dung môi Chân không Khép kín: </w:t>
      </w:r>
      <w:r>
        <w:t>Đầu tư máy chưng cất chân không 250 L/h (vốn 350 - 450 triệu VNĐ). Thu hồi 85-90% dung môi sạch tinh khiết ≥ 98,5%, tiết kiệm 180 - 250 triệu VNĐ/tháng tiền mua dung môi mới. Hoàn vốn chỉ sau 2,0 - 2,5 tháng, triệt tiêu rủi ro hỏng màng sơn.</w:t>
      </w:r>
    </w:p>
    <w:p>
      <w:pPr>
        <w:pStyle w:val="ListBullet"/>
        <w:spacing w:after="80"/>
      </w:pPr>
      <w:r>
        <w:rPr>
          <w:b/>
        </w:rPr>
        <w:t xml:space="preserve">3. Tái lập Định mức Hao hụt Kỹ thuật Chuẩn cho Dòng Glass Flake: </w:t>
      </w:r>
      <w:r>
        <w:t>Điều chỉnh định mức hao hụt kỹ thuật từ 1,5% lên 2,8% - 3,2% cho dòng sơn tỷ trọng cao. Xây dựng quy trình rã gel khoa học với tỷ lệ hoàn nhập ≤ 5% thay vì dồn toa xả cả tấn sơn đông vào mẻ mới.</w:t>
      </w:r>
    </w:p>
    <w:p>
      <w:pPr>
        <w:pStyle w:val="ListBullet"/>
        <w:spacing w:after="80"/>
      </w:pPr>
      <w:r>
        <w:rPr>
          <w:b/>
        </w:rPr>
        <w:t xml:space="preserve">4. Quyết sách Hạ cấp (Down-grading) Phòng ngừa Rủi ro Khiếu nại Hàng chục Tỷ: </w:t>
      </w:r>
      <w:r>
        <w:t>Chi phí bồi thường bảo hành sơn ngoài biển gấp 25-50 lần giá trị lô sơn. Kiên quyết hạ cấp các lô GF1151-MC nhiễm dung môi bẩn sang mục đích sử dụng phụ trợ nội địa, không mạo hiểm đưa vào dự án hàng hải trọng điểm.</w:t>
      </w:r>
    </w:p>
    <w:p>
      <w:pPr>
        <w:spacing w:after="400"/>
      </w:pP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20"/>
              </w:rPr>
              <w:t>NGƯỜI LẬP BÁO CÁO</w:t>
              <w:br/>
              <w:t>(Chuyên viên Phân tích Dữ liệu QA/QC)</w:t>
            </w:r>
          </w:p>
        </w:tc>
        <w:tc>
          <w:tcPr>
            <w:tcW w:type="dxa" w:w="3120"/>
          </w:tcPr>
          <w:p>
            <w:pPr>
              <w:jc w:val="center"/>
            </w:pPr>
            <w:r>
              <w:rPr>
                <w:b/>
                <w:sz w:val="20"/>
              </w:rPr>
              <w:t>TRƯỞNG PHÒNG QA/QC</w:t>
              <w:br/>
              <w:t>(Kiểm tra &amp; Xác nhận)</w:t>
            </w:r>
          </w:p>
        </w:tc>
        <w:tc>
          <w:tcPr>
            <w:tcW w:type="dxa" w:w="3120"/>
          </w:tcPr>
          <w:p>
            <w:pPr>
              <w:jc w:val="center"/>
            </w:pPr>
            <w:r>
              <w:rPr>
                <w:b/>
                <w:sz w:val="20"/>
              </w:rPr>
              <w:t>TỔNG GIÁM ĐỐC PHÊ DUYỆT</w:t>
              <w:br/>
              <w:t>(Ban Giám Đốc)</w:t>
            </w:r>
          </w:p>
        </w:tc>
      </w:tr>
      <w:tr>
        <w:tc>
          <w:tcPr>
            <w:tcW w:type="dxa" w:w="3120"/>
          </w:tcPr>
          <w:p>
            <w:pPr>
              <w:jc w:val="center"/>
            </w:pPr>
            <w:r>
              <w:rPr>
                <w:i/>
                <w:sz w:val="18"/>
              </w:rPr>
              <w:br/>
              <w:br/>
              <w:br/>
              <w:t>(Ký &amp; ghi rõ họ tên)</w:t>
            </w:r>
          </w:p>
        </w:tc>
        <w:tc>
          <w:tcPr>
            <w:tcW w:type="dxa" w:w="3120"/>
          </w:tcPr>
          <w:p>
            <w:pPr>
              <w:jc w:val="center"/>
            </w:pPr>
            <w:r>
              <w:rPr>
                <w:i/>
                <w:sz w:val="18"/>
              </w:rPr>
              <w:br/>
              <w:br/>
              <w:br/>
              <w:t>(Ký &amp; ghi rõ họ tên)</w:t>
            </w:r>
          </w:p>
        </w:tc>
        <w:tc>
          <w:tcPr>
            <w:tcW w:type="dxa" w:w="3120"/>
          </w:tcPr>
          <w:p>
            <w:pPr>
              <w:jc w:val="center"/>
            </w:pPr>
            <w:r>
              <w:rPr>
                <w:i/>
                <w:sz w:val="18"/>
              </w:rPr>
              <w:br/>
              <w:br/>
              <w:br/>
              <w:t>(Ký &amp; ghi rõ họ tên)</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NHÀ MÁY SƠN CÔNG NGHIỆP &amp; TÀU BIỂN | PHÒNG QUẢN LÝ CHẤT LƯỢNG (QA/QC)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